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49" w:rsidRPr="000B556D" w:rsidRDefault="00AF05C9" w:rsidP="000B5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6D">
        <w:rPr>
          <w:rFonts w:ascii="Times New Roman" w:hAnsi="Times New Roman" w:cs="Times New Roman"/>
          <w:b/>
          <w:sz w:val="28"/>
          <w:szCs w:val="28"/>
        </w:rPr>
        <w:t>ĐIỂM KHÁC NHAU TRONG</w:t>
      </w:r>
      <w:r w:rsidR="007F4D93" w:rsidRPr="000B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56D">
        <w:rPr>
          <w:rFonts w:ascii="Times New Roman" w:hAnsi="Times New Roman" w:cs="Times New Roman"/>
          <w:b/>
          <w:sz w:val="28"/>
          <w:szCs w:val="28"/>
        </w:rPr>
        <w:t>HỆ THỐNG TÀI KHOẢN</w:t>
      </w:r>
      <w:r w:rsidR="007F4D93" w:rsidRPr="000B556D">
        <w:rPr>
          <w:rFonts w:ascii="Times New Roman" w:hAnsi="Times New Roman" w:cs="Times New Roman"/>
          <w:b/>
          <w:sz w:val="28"/>
          <w:szCs w:val="28"/>
        </w:rPr>
        <w:t xml:space="preserve"> GIỮA THÔNG TƯ SỐ 133/2016/TT-BTC VÀ </w:t>
      </w:r>
      <w:r w:rsidRPr="000B556D">
        <w:rPr>
          <w:rFonts w:ascii="Times New Roman" w:hAnsi="Times New Roman" w:cs="Times New Roman"/>
          <w:b/>
          <w:sz w:val="28"/>
          <w:szCs w:val="28"/>
        </w:rPr>
        <w:t>THÔNG TƯ 200/2014/TT</w:t>
      </w:r>
      <w:r w:rsidR="007F4D93" w:rsidRPr="000B556D">
        <w:rPr>
          <w:rFonts w:ascii="Times New Roman" w:hAnsi="Times New Roman" w:cs="Times New Roman"/>
          <w:b/>
          <w:sz w:val="28"/>
          <w:szCs w:val="28"/>
        </w:rPr>
        <w:t>-BTC</w:t>
      </w:r>
    </w:p>
    <w:p w:rsidR="000B556D" w:rsidRDefault="007F4D93" w:rsidP="00C1586E">
      <w:pPr>
        <w:jc w:val="right"/>
      </w:pPr>
      <w:r>
        <w:tab/>
      </w:r>
      <w:r w:rsidR="00C1586E">
        <w:tab/>
      </w:r>
      <w:r w:rsidR="00C1586E">
        <w:tab/>
      </w:r>
      <w:r w:rsidR="00C1586E">
        <w:tab/>
      </w:r>
      <w:r w:rsidR="00C1586E">
        <w:tab/>
      </w:r>
      <w:r w:rsidR="00C1586E">
        <w:tab/>
      </w:r>
      <w:r w:rsidR="00C1586E">
        <w:tab/>
      </w:r>
      <w:proofErr w:type="spellStart"/>
      <w:r w:rsidR="00C1586E" w:rsidRPr="00C1586E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C1586E" w:rsidRPr="00C158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586E" w:rsidRPr="00C1586E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C1586E" w:rsidRPr="00C1586E">
        <w:rPr>
          <w:rFonts w:ascii="Times New Roman" w:hAnsi="Times New Roman" w:cs="Times New Roman"/>
          <w:sz w:val="26"/>
          <w:szCs w:val="26"/>
        </w:rPr>
        <w:t xml:space="preserve"> Kim </w:t>
      </w:r>
      <w:proofErr w:type="spellStart"/>
      <w:r w:rsidR="00C1586E" w:rsidRPr="00C1586E">
        <w:rPr>
          <w:rFonts w:ascii="Times New Roman" w:hAnsi="Times New Roman" w:cs="Times New Roman"/>
          <w:sz w:val="26"/>
          <w:szCs w:val="26"/>
        </w:rPr>
        <w:t>Hương</w:t>
      </w:r>
      <w:proofErr w:type="spellEnd"/>
    </w:p>
    <w:p w:rsidR="007F4D93" w:rsidRPr="000B556D" w:rsidRDefault="00AF05C9" w:rsidP="000B556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556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nay</w:t>
      </w:r>
      <w:proofErr w:type="gramStart"/>
      <w:r w:rsidRPr="000B556D">
        <w:rPr>
          <w:rFonts w:ascii="Times New Roman" w:hAnsi="Times New Roman" w:cs="Times New Roman"/>
          <w:sz w:val="26"/>
          <w:szCs w:val="26"/>
        </w:rPr>
        <w:t xml:space="preserve">, </w:t>
      </w:r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Bộ</w:t>
      </w:r>
      <w:proofErr w:type="spellEnd"/>
      <w:proofErr w:type="gram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r w:rsidR="007F4D93" w:rsidRPr="000B556D">
        <w:rPr>
          <w:rFonts w:ascii="Times New Roman" w:hAnsi="Times New Roman" w:cs="Times New Roman"/>
          <w:sz w:val="26"/>
          <w:szCs w:val="26"/>
        </w:rPr>
        <w:t>133/2016/TT-BTC</w:t>
      </w:r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r w:rsidRPr="000B556D">
        <w:rPr>
          <w:rFonts w:ascii="Times New Roman" w:hAnsi="Times New Roman" w:cs="Times New Roman"/>
          <w:sz w:val="26"/>
          <w:szCs w:val="26"/>
        </w:rPr>
        <w:t xml:space="preserve">200/2014/TT-BTC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chép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D93" w:rsidRPr="000B556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F4D93" w:rsidRPr="000B556D">
        <w:rPr>
          <w:rFonts w:ascii="Times New Roman" w:hAnsi="Times New Roman" w:cs="Times New Roman"/>
          <w:sz w:val="26"/>
          <w:szCs w:val="26"/>
        </w:rPr>
        <w:t xml:space="preserve"> 48/2006/QĐ-BTC</w:t>
      </w:r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15/2006/QĐ-BTC</w:t>
      </w:r>
      <w:r w:rsidR="007F4D93" w:rsidRPr="000B556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B556D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556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556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556D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0B556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10206" w:type="dxa"/>
        <w:tblLook w:val="04A0"/>
      </w:tblPr>
      <w:tblGrid>
        <w:gridCol w:w="5418"/>
        <w:gridCol w:w="4788"/>
      </w:tblGrid>
      <w:tr w:rsidR="00186F07" w:rsidRPr="000B556D" w:rsidTr="000B556D">
        <w:tc>
          <w:tcPr>
            <w:tcW w:w="5418" w:type="dxa"/>
          </w:tcPr>
          <w:p w:rsidR="00186F07" w:rsidRPr="000B556D" w:rsidRDefault="00186F07" w:rsidP="000B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  <w:r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7397"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4788" w:type="dxa"/>
          </w:tcPr>
          <w:p w:rsidR="00186F07" w:rsidRPr="000B556D" w:rsidRDefault="00CB7397" w:rsidP="000B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  <w:r w:rsidRPr="000B5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133</w:t>
            </w:r>
          </w:p>
        </w:tc>
      </w:tr>
      <w:tr w:rsidR="00CB7397" w:rsidRPr="000B556D" w:rsidTr="000B556D">
        <w:tc>
          <w:tcPr>
            <w:tcW w:w="10206" w:type="dxa"/>
            <w:gridSpan w:val="2"/>
          </w:tcPr>
          <w:p w:rsidR="00CB7397" w:rsidRPr="000B556D" w:rsidRDefault="00CB7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556D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0B5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0B5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0B5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</w:tr>
      <w:tr w:rsidR="00186F07" w:rsidRPr="000B556D" w:rsidTr="000B556D">
        <w:tc>
          <w:tcPr>
            <w:tcW w:w="5418" w:type="dxa"/>
          </w:tcPr>
          <w:p w:rsidR="00186F07" w:rsidRPr="000B556D" w:rsidRDefault="00CB7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TK 1113, 1123: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Vàng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tiền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tệ</w:t>
            </w:r>
            <w:proofErr w:type="spellEnd"/>
          </w:p>
        </w:tc>
        <w:tc>
          <w:tcPr>
            <w:tcW w:w="4788" w:type="dxa"/>
          </w:tcPr>
          <w:p w:rsidR="00186F07" w:rsidRPr="000B556D" w:rsidRDefault="00CB7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556D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B55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CB7397" w:rsidRPr="000B556D" w:rsidTr="000B556D">
        <w:tc>
          <w:tcPr>
            <w:tcW w:w="5418" w:type="dxa"/>
          </w:tcPr>
          <w:p w:rsidR="00CB7397" w:rsidRPr="000B556D" w:rsidRDefault="00CB7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TK 113: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Tiền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đang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vận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chuyển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(1131, 1132)</w:t>
            </w:r>
          </w:p>
        </w:tc>
        <w:tc>
          <w:tcPr>
            <w:tcW w:w="4788" w:type="dxa"/>
          </w:tcPr>
          <w:p w:rsidR="00CB7397" w:rsidRPr="000B556D" w:rsidRDefault="00CB7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Không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có</w:t>
            </w:r>
            <w:proofErr w:type="spellEnd"/>
          </w:p>
        </w:tc>
      </w:tr>
      <w:tr w:rsidR="00186F07" w:rsidRPr="000B556D" w:rsidTr="000B556D">
        <w:tc>
          <w:tcPr>
            <w:tcW w:w="5418" w:type="dxa"/>
          </w:tcPr>
          <w:p w:rsidR="00186F07" w:rsidRPr="000B556D" w:rsidRDefault="00CB7397" w:rsidP="00CB7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TK 1218: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khoán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cụ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chính</w:t>
            </w:r>
            <w:proofErr w:type="spellEnd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khác</w:t>
            </w:r>
            <w:proofErr w:type="spellEnd"/>
          </w:p>
        </w:tc>
        <w:tc>
          <w:tcPr>
            <w:tcW w:w="4788" w:type="dxa"/>
          </w:tcPr>
          <w:p w:rsidR="00186F07" w:rsidRPr="000B556D" w:rsidRDefault="00CB7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556D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B55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186F07" w:rsidRPr="000B556D" w:rsidTr="000B556D">
        <w:tc>
          <w:tcPr>
            <w:tcW w:w="5418" w:type="dxa"/>
          </w:tcPr>
          <w:p w:rsidR="00CB7397" w:rsidRPr="000B556D" w:rsidRDefault="00CB7397" w:rsidP="00CB739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128: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nắm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giữ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đến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ngày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đáo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- 1281: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Tiền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gửi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kì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hạn</w:t>
            </w:r>
            <w:proofErr w:type="spellEnd"/>
          </w:p>
          <w:p w:rsidR="00CB7397" w:rsidRPr="000B556D" w:rsidRDefault="00CB7397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-1282: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</w:p>
          <w:p w:rsidR="00CB7397" w:rsidRPr="000B556D" w:rsidRDefault="00CB7397" w:rsidP="00CB739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ind w:right="342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-1283: Cho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vay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- 1288: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ngắn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  <w:p w:rsidR="00186F07" w:rsidRPr="000B556D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CB7397" w:rsidRPr="000B556D" w:rsidRDefault="00CB7397" w:rsidP="00CB739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128: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nắm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giữ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đến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ngày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đáo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- 1281: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Tiền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gửi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kì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hạn</w:t>
            </w:r>
            <w:proofErr w:type="spellEnd"/>
          </w:p>
          <w:p w:rsidR="00CB7397" w:rsidRPr="000B556D" w:rsidRDefault="00CB7397" w:rsidP="00CB7397">
            <w:pPr>
              <w:pStyle w:val="NormalWeb"/>
              <w:shd w:val="clear" w:color="auto" w:fill="FFFFFF"/>
              <w:spacing w:before="0" w:beforeAutospacing="0" w:after="240" w:afterAutospacing="0" w:line="360" w:lineRule="atLeast"/>
              <w:jc w:val="both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- 1288: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ngắn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  <w:p w:rsidR="00186F07" w:rsidRPr="000B556D" w:rsidRDefault="00186F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F07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136: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- 1361: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kinh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ở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các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vị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trực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thuộc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-1362: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về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chênh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lệch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tỷ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-1363: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về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vay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đủ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điều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kiện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được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hoá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- 1368: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  <w:p w:rsidR="00186F07" w:rsidRPr="000B556D" w:rsidRDefault="00186F07" w:rsidP="00186F07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TK 1362. 1363</w:t>
            </w:r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 TK 136: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- 1361: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kinh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ở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các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vị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trực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thuộc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- 1368: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  <w:p w:rsidR="00186F07" w:rsidRPr="000B556D" w:rsidRDefault="00186F07" w:rsidP="000B5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F07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138: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-1381: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thiếu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chờ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xử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- 1385: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về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cổ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phần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hóa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-1388: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  <w:p w:rsidR="00186F07" w:rsidRPr="000B556D" w:rsidRDefault="00186F07" w:rsidP="000B556D">
            <w:pPr>
              <w:pStyle w:val="ListParagrap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78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138: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-1381: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thiếu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chờ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xử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lý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- 1386: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Cầm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cố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thế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chấp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quỹ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cược</w:t>
            </w:r>
          </w:p>
          <w:p w:rsidR="00186F07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-1388: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</w:tc>
      </w:tr>
      <w:tr w:rsidR="00EC7B9F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K 153: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cụ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dụng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cụ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-1531: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cụ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dụng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cụ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-1532: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Bao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bì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luân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chuyển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lastRenderedPageBreak/>
              <w:t xml:space="preserve">-1533: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Đồ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dùng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thuê</w:t>
            </w:r>
            <w:proofErr w:type="spellEnd"/>
          </w:p>
          <w:p w:rsidR="00EC7B9F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-1534: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bị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phụ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tùng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thay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4788" w:type="dxa"/>
          </w:tcPr>
          <w:p w:rsidR="00EC7B9F" w:rsidRPr="000B556D" w:rsidRDefault="0095489A" w:rsidP="000B556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Không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2</w:t>
            </w:r>
          </w:p>
        </w:tc>
      </w:tr>
      <w:tr w:rsidR="00186F07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lastRenderedPageBreak/>
              <w:t xml:space="preserve">K 155: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Thành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phẩm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-1551: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Thành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phẩm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nhập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-1557: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Thành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phẩm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bất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động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</w:p>
          <w:p w:rsidR="00186F07" w:rsidRPr="000B556D" w:rsidRDefault="00186F07" w:rsidP="000B556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788" w:type="dxa"/>
          </w:tcPr>
          <w:p w:rsidR="00186F07" w:rsidRPr="000B556D" w:rsidRDefault="0095489A" w:rsidP="000B556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2</w:t>
            </w:r>
          </w:p>
        </w:tc>
      </w:tr>
      <w:tr w:rsidR="00186F07" w:rsidRPr="000B556D" w:rsidTr="000B556D">
        <w:tc>
          <w:tcPr>
            <w:tcW w:w="5418" w:type="dxa"/>
          </w:tcPr>
          <w:p w:rsidR="00186F07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K 156: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Hóa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- 1561: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mua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hóa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- 1562: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mua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hóa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- 1567: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hóa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bất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động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4788" w:type="dxa"/>
          </w:tcPr>
          <w:p w:rsidR="00186F07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156: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hóa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cấp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2)</w:t>
            </w:r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158: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hóa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bảo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478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161: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sự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(1611, 1612-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sự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năm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trước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/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năm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nay)</w:t>
            </w:r>
          </w:p>
        </w:tc>
        <w:tc>
          <w:tcPr>
            <w:tcW w:w="478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> 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171: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Giao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dịch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mua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chính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phủ</w:t>
            </w:r>
            <w:proofErr w:type="spellEnd"/>
          </w:p>
        </w:tc>
        <w:tc>
          <w:tcPr>
            <w:tcW w:w="478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95489A" w:rsidRPr="000B556D" w:rsidTr="000B556D">
        <w:tc>
          <w:tcPr>
            <w:tcW w:w="10206" w:type="dxa"/>
            <w:gridSpan w:val="2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2</w:t>
            </w:r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211: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cố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định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> </w:t>
            </w:r>
            <w:r w:rsidRPr="000B556D">
              <w:rPr>
                <w:color w:val="333333"/>
                <w:sz w:val="26"/>
                <w:szCs w:val="26"/>
              </w:rPr>
              <w:br/>
              <w:t xml:space="preserve">- 2111: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Nhà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cửa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vật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kiến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trúc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- 2112: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Máy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móc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bị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> </w:t>
            </w:r>
            <w:r w:rsidRPr="000B556D">
              <w:rPr>
                <w:color w:val="333333"/>
                <w:sz w:val="26"/>
                <w:szCs w:val="26"/>
              </w:rPr>
              <w:br/>
              <w:t xml:space="preserve">- 2113: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Phương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tiện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vận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truyền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dẫn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- 2114: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bị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DC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- 2115: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Cây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lâu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năm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súc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vật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làm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việc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và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phẩm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- 2118: TSCĐ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788" w:type="dxa"/>
            <w:vMerge w:val="restart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211: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cố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định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> </w:t>
            </w:r>
            <w:r w:rsidRPr="000B556D">
              <w:rPr>
                <w:color w:val="333333"/>
                <w:sz w:val="26"/>
                <w:szCs w:val="26"/>
              </w:rPr>
              <w:br/>
              <w:t xml:space="preserve">- 2111: TSCĐ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hữu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hình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- 2112: TSCĐ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thuê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chính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- 2113: TSCĐ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vô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hình</w:t>
            </w:r>
            <w:proofErr w:type="spellEnd"/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212: TSCĐ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thuê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chính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-2121: TSCĐ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hữu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hình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thuê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chính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-2122: TSCĐ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vô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hình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thuê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chính</w:t>
            </w:r>
            <w:proofErr w:type="spellEnd"/>
          </w:p>
          <w:p w:rsidR="0095489A" w:rsidRPr="000B556D" w:rsidRDefault="0095489A" w:rsidP="000B556D">
            <w:pPr>
              <w:pStyle w:val="ListParagrap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788" w:type="dxa"/>
            <w:vMerge/>
          </w:tcPr>
          <w:p w:rsidR="0095489A" w:rsidRPr="000B556D" w:rsidRDefault="0095489A" w:rsidP="000B556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213: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cố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định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vô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hình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2131, 2132, 2133, 2134, 2135, 2136, 2138)</w:t>
            </w:r>
          </w:p>
        </w:tc>
        <w:tc>
          <w:tcPr>
            <w:tcW w:w="4788" w:type="dxa"/>
            <w:vMerge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221: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vào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con</w:t>
            </w:r>
          </w:p>
        </w:tc>
        <w:tc>
          <w:tcPr>
            <w:tcW w:w="4788" w:type="dxa"/>
            <w:vMerge w:val="restart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228: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góp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vào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vị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222: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vào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liên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liên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4788" w:type="dxa"/>
            <w:vMerge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228: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- 2281: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góp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vào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vị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- 2288: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788" w:type="dxa"/>
            <w:vMerge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lastRenderedPageBreak/>
              <w:t xml:space="preserve">TK 243: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thuế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nhập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hoãn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478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95489A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244: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Cầm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cố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thế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chấp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quỹ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cược</w:t>
            </w:r>
          </w:p>
        </w:tc>
        <w:tc>
          <w:tcPr>
            <w:tcW w:w="478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thay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bằng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TK 1386)</w:t>
            </w:r>
          </w:p>
        </w:tc>
      </w:tr>
      <w:tr w:rsidR="0095489A" w:rsidRPr="000B556D" w:rsidTr="000B556D">
        <w:tc>
          <w:tcPr>
            <w:tcW w:w="10206" w:type="dxa"/>
            <w:gridSpan w:val="2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loại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3</w:t>
            </w:r>
          </w:p>
        </w:tc>
      </w:tr>
      <w:tr w:rsidR="00EC7B9F" w:rsidRPr="000B556D" w:rsidTr="000B556D">
        <w:tc>
          <w:tcPr>
            <w:tcW w:w="5418" w:type="dxa"/>
          </w:tcPr>
          <w:p w:rsidR="00EC7B9F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334: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người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lao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động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- 3341: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nhân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viên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- 3348: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lao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động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788" w:type="dxa"/>
          </w:tcPr>
          <w:p w:rsidR="00EC7B9F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334: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người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lao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động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TK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cấp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2)</w:t>
            </w:r>
          </w:p>
        </w:tc>
      </w:tr>
      <w:tr w:rsidR="00EC7B9F" w:rsidRPr="000B556D" w:rsidTr="000B556D">
        <w:tc>
          <w:tcPr>
            <w:tcW w:w="5418" w:type="dxa"/>
          </w:tcPr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336: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</w:p>
          <w:p w:rsidR="0095489A" w:rsidRPr="000B556D" w:rsidRDefault="0095489A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-3361: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về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kinh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-3362: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về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chênh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lệch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tỷ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- 3363: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về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vay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đủ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điều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kiện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được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hoá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- 3368: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khác</w:t>
            </w:r>
            <w:proofErr w:type="spellEnd"/>
          </w:p>
          <w:p w:rsidR="00EC7B9F" w:rsidRPr="000B556D" w:rsidRDefault="00EC7B9F" w:rsidP="000B556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788" w:type="dxa"/>
          </w:tcPr>
          <w:p w:rsidR="00EC7B9F" w:rsidRPr="000B556D" w:rsidRDefault="006C788D" w:rsidP="000B556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TK 336: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bộ</w:t>
            </w:r>
            <w:proofErr w:type="spellEnd"/>
          </w:p>
          <w:p w:rsidR="006C788D" w:rsidRPr="000B556D" w:rsidRDefault="006C788D" w:rsidP="000B556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- 3361: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về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kinh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doanh</w:t>
            </w:r>
            <w:proofErr w:type="spellEnd"/>
          </w:p>
          <w:p w:rsidR="006C788D" w:rsidRPr="000B556D" w:rsidRDefault="006C788D" w:rsidP="000B556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- 3362: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nội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bộ</w:t>
            </w:r>
            <w:proofErr w:type="spellEnd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khác</w:t>
            </w:r>
            <w:proofErr w:type="spellEnd"/>
          </w:p>
        </w:tc>
      </w:tr>
      <w:tr w:rsidR="00571CB2" w:rsidRPr="000B556D" w:rsidTr="000B556D">
        <w:tc>
          <w:tcPr>
            <w:tcW w:w="5418" w:type="dxa"/>
          </w:tcPr>
          <w:p w:rsidR="00571CB2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337: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toán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theo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độ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hợp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đồng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xây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dựng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4788" w:type="dxa"/>
          </w:tcPr>
          <w:p w:rsidR="00571CB2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571CB2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3385: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về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cổ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phần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hoá</w:t>
            </w:r>
            <w:proofErr w:type="spellEnd"/>
          </w:p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3386: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Bảo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hiểm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thất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</w:p>
          <w:p w:rsidR="00571CB2" w:rsidRPr="000B556D" w:rsidRDefault="00571CB2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Tk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3385: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Bảo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hiểm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thất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</w:p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3386: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Nhận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quỹ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cược</w:t>
            </w:r>
          </w:p>
          <w:p w:rsidR="00571CB2" w:rsidRPr="000B556D" w:rsidRDefault="00571CB2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571CB2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343: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phát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- 3431: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thường</w:t>
            </w:r>
            <w:proofErr w:type="spellEnd"/>
          </w:p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  + 34311: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Mệnh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</w:p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  + 34312: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khấu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</w:p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  + 34313: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Phụ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trội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- 3432: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chuyển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đổi</w:t>
            </w:r>
            <w:proofErr w:type="spellEnd"/>
          </w:p>
          <w:p w:rsidR="00924DFF" w:rsidRPr="000B556D" w:rsidRDefault="00924DF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  <w:tc>
          <w:tcPr>
            <w:tcW w:w="4788" w:type="dxa"/>
          </w:tcPr>
          <w:p w:rsidR="00571CB2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344: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Nhận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quỹ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cược</w:t>
            </w:r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347: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Thuế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nhập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hoãn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phải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trả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357: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Quỹ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bình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ổn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10206" w:type="dxa"/>
            <w:gridSpan w:val="2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loại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4</w:t>
            </w:r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4113: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Quyền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chọn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chuyển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đổi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412: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Chênh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lệch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đánh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> 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413: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Chênh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lệch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tỷ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hối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đoái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- 4131: CLTGHĐ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đánh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cuối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năm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TC</w:t>
            </w:r>
            <w:r w:rsidRPr="000B556D">
              <w:rPr>
                <w:color w:val="333333"/>
                <w:sz w:val="26"/>
                <w:szCs w:val="26"/>
              </w:rPr>
              <w:br/>
              <w:t xml:space="preserve">- 4132: CLTGHĐ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trong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giai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đoạn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trước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hoạt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413: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Chênh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lệch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tỷ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hối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đoái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>)</w:t>
            </w:r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lastRenderedPageBreak/>
              <w:t xml:space="preserve">TK 414: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Quỹ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phát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> 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417: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Quỹ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hỗ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sắp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xếp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> 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441: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Nguồn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vốn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XDCB</w:t>
            </w:r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> 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461: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Nguồn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kinh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sự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- 4611: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Nguồn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KP SN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năm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trước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- 4612: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Nguồn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KP SN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năm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nay</w:t>
            </w:r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> 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466: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Nguồn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KP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hình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thành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TSCĐ</w:t>
            </w:r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> 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10206" w:type="dxa"/>
            <w:gridSpan w:val="2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loại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5</w:t>
            </w:r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5114: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cấp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trợ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5117: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kinh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bất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động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đầu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</w:p>
        </w:tc>
      </w:tr>
      <w:tr w:rsidR="0023383D" w:rsidRPr="000B556D" w:rsidTr="000B556D">
        <w:tc>
          <w:tcPr>
            <w:tcW w:w="10206" w:type="dxa"/>
            <w:gridSpan w:val="2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loại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6</w:t>
            </w:r>
          </w:p>
        </w:tc>
      </w:tr>
      <w:tr w:rsidR="0023383D" w:rsidRPr="000B556D" w:rsidTr="000B556D">
        <w:tc>
          <w:tcPr>
            <w:tcW w:w="541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611: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Mua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>)</w:t>
            </w:r>
            <w:r w:rsidRPr="000B556D">
              <w:rPr>
                <w:color w:val="333333"/>
                <w:sz w:val="26"/>
                <w:szCs w:val="26"/>
              </w:rPr>
              <w:br/>
              <w:t xml:space="preserve">- 6111: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Mua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NVL</w:t>
            </w:r>
            <w:r w:rsidRPr="000B556D">
              <w:rPr>
                <w:color w:val="333333"/>
                <w:sz w:val="26"/>
                <w:szCs w:val="26"/>
              </w:rPr>
              <w:br/>
              <w:t xml:space="preserve">- 6112: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Mua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4788" w:type="dxa"/>
          </w:tcPr>
          <w:p w:rsidR="0023383D" w:rsidRPr="000B556D" w:rsidRDefault="0023383D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611: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Mua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tiết</w:t>
            </w:r>
            <w:proofErr w:type="spellEnd"/>
          </w:p>
        </w:tc>
      </w:tr>
      <w:tr w:rsidR="00066F6F" w:rsidRPr="000B556D" w:rsidTr="000B556D">
        <w:tc>
          <w:tcPr>
            <w:tcW w:w="541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621: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NVL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trực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4788" w:type="dxa"/>
            <w:vMerge w:val="restart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631: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Giá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thành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sx</w:t>
            </w:r>
            <w:proofErr w:type="spellEnd"/>
          </w:p>
        </w:tc>
      </w:tr>
      <w:tr w:rsidR="00066F6F" w:rsidRPr="000B556D" w:rsidTr="000B556D">
        <w:tc>
          <w:tcPr>
            <w:tcW w:w="541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622: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nhân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trực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4788" w:type="dxa"/>
            <w:vMerge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066F6F" w:rsidRPr="000B556D" w:rsidTr="000B556D">
        <w:tc>
          <w:tcPr>
            <w:tcW w:w="541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623: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sử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dụng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máy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(TK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6231, 6232, 6233, 6234, 6237, 6238)</w:t>
            </w:r>
          </w:p>
        </w:tc>
        <w:tc>
          <w:tcPr>
            <w:tcW w:w="4788" w:type="dxa"/>
            <w:vMerge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066F6F" w:rsidRPr="000B556D" w:rsidTr="000B556D">
        <w:tc>
          <w:tcPr>
            <w:tcW w:w="541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627: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chung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(6271, 6272, 6273, 6274, 6277, 6278)</w:t>
            </w:r>
          </w:p>
        </w:tc>
        <w:tc>
          <w:tcPr>
            <w:tcW w:w="4788" w:type="dxa"/>
            <w:vMerge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066F6F" w:rsidRPr="000B556D" w:rsidTr="000B556D">
        <w:tc>
          <w:tcPr>
            <w:tcW w:w="541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641: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(6411, 6412, 6413, 6414, 6415, 6417, 6418)</w:t>
            </w:r>
          </w:p>
        </w:tc>
        <w:tc>
          <w:tcPr>
            <w:tcW w:w="4788" w:type="dxa"/>
            <w:vMerge w:val="restart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642: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- 6421: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bán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- 6422: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</w:p>
        </w:tc>
      </w:tr>
      <w:tr w:rsidR="00066F6F" w:rsidRPr="000B556D" w:rsidTr="000B556D">
        <w:tc>
          <w:tcPr>
            <w:tcW w:w="541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642: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- 6421: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nhân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viên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- 6422: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vật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liệu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quản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lý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>(6423, 6424, 6425, 6426, 6427, 6428)</w:t>
            </w:r>
          </w:p>
        </w:tc>
        <w:tc>
          <w:tcPr>
            <w:tcW w:w="4788" w:type="dxa"/>
            <w:vMerge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066F6F" w:rsidRPr="000B556D" w:rsidTr="000B556D">
        <w:tc>
          <w:tcPr>
            <w:tcW w:w="541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loại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8</w:t>
            </w:r>
          </w:p>
        </w:tc>
        <w:tc>
          <w:tcPr>
            <w:tcW w:w="478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</w:p>
        </w:tc>
      </w:tr>
      <w:tr w:rsidR="00066F6F" w:rsidRPr="000B556D" w:rsidTr="000B556D">
        <w:tc>
          <w:tcPr>
            <w:tcW w:w="541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821: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thuế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nhập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- 8211: CP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thuế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TNDN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hiện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hành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br/>
              <w:t xml:space="preserve">- 8212: CP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thuế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TNDN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hoãn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4788" w:type="dxa"/>
          </w:tcPr>
          <w:p w:rsidR="00066F6F" w:rsidRPr="000B556D" w:rsidRDefault="00066F6F" w:rsidP="000B556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333333"/>
                <w:sz w:val="26"/>
                <w:szCs w:val="26"/>
              </w:rPr>
            </w:pPr>
            <w:r w:rsidRPr="000B556D">
              <w:rPr>
                <w:color w:val="333333"/>
                <w:sz w:val="26"/>
                <w:szCs w:val="26"/>
              </w:rPr>
              <w:t xml:space="preserve">TK 821: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phí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thuế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thu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nhập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doanh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nghiệp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không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có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tài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khoản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 xml:space="preserve"> chi </w:t>
            </w:r>
            <w:proofErr w:type="spellStart"/>
            <w:r w:rsidRPr="000B556D">
              <w:rPr>
                <w:color w:val="333333"/>
                <w:sz w:val="26"/>
                <w:szCs w:val="26"/>
              </w:rPr>
              <w:t>tiết</w:t>
            </w:r>
            <w:proofErr w:type="spellEnd"/>
            <w:r w:rsidRPr="000B556D">
              <w:rPr>
                <w:color w:val="333333"/>
                <w:sz w:val="26"/>
                <w:szCs w:val="26"/>
              </w:rPr>
              <w:t>)</w:t>
            </w:r>
          </w:p>
        </w:tc>
      </w:tr>
    </w:tbl>
    <w:p w:rsidR="00A33D73" w:rsidRDefault="00A33D73"/>
    <w:p w:rsidR="005B165D" w:rsidRDefault="005B165D"/>
    <w:p w:rsidR="007F4D93" w:rsidRDefault="007F4D93"/>
    <w:p w:rsidR="007F4D93" w:rsidRDefault="007F4D93"/>
    <w:sectPr w:rsidR="007F4D93" w:rsidSect="001B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928"/>
    <w:multiLevelType w:val="hybridMultilevel"/>
    <w:tmpl w:val="4E940344"/>
    <w:lvl w:ilvl="0" w:tplc="8DEAB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3711"/>
    <w:multiLevelType w:val="hybridMultilevel"/>
    <w:tmpl w:val="F35462C6"/>
    <w:lvl w:ilvl="0" w:tplc="B9FC78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259C5"/>
    <w:multiLevelType w:val="hybridMultilevel"/>
    <w:tmpl w:val="5754CE46"/>
    <w:lvl w:ilvl="0" w:tplc="C34E2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65DA"/>
    <w:multiLevelType w:val="hybridMultilevel"/>
    <w:tmpl w:val="E934EDDC"/>
    <w:lvl w:ilvl="0" w:tplc="028C0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2A3C"/>
    <w:multiLevelType w:val="hybridMultilevel"/>
    <w:tmpl w:val="4EE29372"/>
    <w:lvl w:ilvl="0" w:tplc="DF045F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72D13"/>
    <w:multiLevelType w:val="hybridMultilevel"/>
    <w:tmpl w:val="AAA61FB4"/>
    <w:lvl w:ilvl="0" w:tplc="86BA19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87B99"/>
    <w:multiLevelType w:val="hybridMultilevel"/>
    <w:tmpl w:val="1DC46666"/>
    <w:lvl w:ilvl="0" w:tplc="89FE66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67E07"/>
    <w:multiLevelType w:val="hybridMultilevel"/>
    <w:tmpl w:val="5F721C80"/>
    <w:lvl w:ilvl="0" w:tplc="B16AA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A4FD5"/>
    <w:multiLevelType w:val="hybridMultilevel"/>
    <w:tmpl w:val="2D3EF524"/>
    <w:lvl w:ilvl="0" w:tplc="8124CF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C2302"/>
    <w:multiLevelType w:val="hybridMultilevel"/>
    <w:tmpl w:val="A8BA7C10"/>
    <w:lvl w:ilvl="0" w:tplc="F3D016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D93"/>
    <w:rsid w:val="00066F6F"/>
    <w:rsid w:val="000B556D"/>
    <w:rsid w:val="00186F07"/>
    <w:rsid w:val="001B2D49"/>
    <w:rsid w:val="0023383D"/>
    <w:rsid w:val="00571CB2"/>
    <w:rsid w:val="005B165D"/>
    <w:rsid w:val="006C788D"/>
    <w:rsid w:val="007F4D93"/>
    <w:rsid w:val="00806C53"/>
    <w:rsid w:val="008E499F"/>
    <w:rsid w:val="00924DFF"/>
    <w:rsid w:val="0095489A"/>
    <w:rsid w:val="00995580"/>
    <w:rsid w:val="00A33D73"/>
    <w:rsid w:val="00AF05C9"/>
    <w:rsid w:val="00C1586E"/>
    <w:rsid w:val="00CB7397"/>
    <w:rsid w:val="00EC7B9F"/>
    <w:rsid w:val="00F9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93"/>
    <w:pPr>
      <w:ind w:left="720"/>
      <w:contextualSpacing/>
    </w:pPr>
  </w:style>
  <w:style w:type="table" w:styleId="TableGrid">
    <w:name w:val="Table Grid"/>
    <w:basedOn w:val="TableNormal"/>
    <w:uiPriority w:val="59"/>
    <w:rsid w:val="0018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2016-10-05T01:53:00Z</dcterms:created>
  <dcterms:modified xsi:type="dcterms:W3CDTF">2016-10-06T04:16:00Z</dcterms:modified>
</cp:coreProperties>
</file>