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7" w:rsidRPr="00271379" w:rsidRDefault="00DE7120" w:rsidP="00D1165F">
      <w:pPr>
        <w:pStyle w:val="Heading2"/>
        <w:ind w:left="0" w:firstLine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BẢNG ĐỐI CHIẾU SỐ DƯ TIỀN TẠI DOANH NGHIỆP VÀ SỐ DƯ TIỀN TẠI NGÂN HÀNG VÀ NHỮNG SAI SÓT CÓ THỂ XẢY RA TRONG KẾ TOÁN MỸ</w:t>
      </w:r>
    </w:p>
    <w:p w:rsidR="00B563D7" w:rsidRDefault="00B563D7" w:rsidP="00D1165F">
      <w:pPr>
        <w:pStyle w:val="Heading2"/>
        <w:ind w:left="0" w:firstLine="720"/>
        <w:jc w:val="right"/>
        <w:rPr>
          <w:rFonts w:ascii="Tahoma" w:hAnsi="Tahoma" w:cs="Tahoma"/>
          <w:sz w:val="20"/>
          <w:szCs w:val="20"/>
        </w:rPr>
      </w:pPr>
      <w:proofErr w:type="spellStart"/>
      <w:r w:rsidRPr="00D1165F">
        <w:rPr>
          <w:rFonts w:ascii="Tahoma" w:hAnsi="Tahoma" w:cs="Tahoma"/>
          <w:sz w:val="20"/>
          <w:szCs w:val="20"/>
        </w:rPr>
        <w:t>Giảng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65F">
        <w:rPr>
          <w:rFonts w:ascii="Tahoma" w:hAnsi="Tahoma" w:cs="Tahoma"/>
          <w:sz w:val="20"/>
          <w:szCs w:val="20"/>
        </w:rPr>
        <w:t>viên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D1165F">
        <w:rPr>
          <w:rFonts w:ascii="Tahoma" w:hAnsi="Tahoma" w:cs="Tahoma"/>
          <w:sz w:val="20"/>
          <w:szCs w:val="20"/>
        </w:rPr>
        <w:t>Nguyễn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65F">
        <w:rPr>
          <w:rFonts w:ascii="Tahoma" w:hAnsi="Tahoma" w:cs="Tahoma"/>
          <w:sz w:val="20"/>
          <w:szCs w:val="20"/>
        </w:rPr>
        <w:t>Thị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Kim </w:t>
      </w:r>
      <w:proofErr w:type="spellStart"/>
      <w:r w:rsidRPr="00D1165F">
        <w:rPr>
          <w:rFonts w:ascii="Tahoma" w:hAnsi="Tahoma" w:cs="Tahoma"/>
          <w:sz w:val="20"/>
          <w:szCs w:val="20"/>
        </w:rPr>
        <w:t>Hương</w:t>
      </w:r>
      <w:proofErr w:type="spellEnd"/>
    </w:p>
    <w:p w:rsidR="00BD75ED" w:rsidRDefault="00BD75ED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Mỹ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điểm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thúc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(TK)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biệt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kê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 w:rsidR="00374842">
        <w:rPr>
          <w:rFonts w:ascii="Tahoma" w:hAnsi="Tahoma" w:cs="Tahoma"/>
          <w:sz w:val="20"/>
          <w:szCs w:val="20"/>
        </w:rPr>
        <w:t>.</w:t>
      </w:r>
      <w:proofErr w:type="gram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74842">
        <w:rPr>
          <w:rFonts w:ascii="Tahoma" w:hAnsi="Tahoma" w:cs="Tahoma"/>
          <w:sz w:val="20"/>
          <w:szCs w:val="20"/>
        </w:rPr>
        <w:t>Vì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vậy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74842">
        <w:rPr>
          <w:rFonts w:ascii="Tahoma" w:hAnsi="Tahoma" w:cs="Tahoma"/>
          <w:sz w:val="20"/>
          <w:szCs w:val="20"/>
        </w:rPr>
        <w:t>các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doanh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nghiệp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ở </w:t>
      </w:r>
      <w:proofErr w:type="spellStart"/>
      <w:r w:rsidR="00374842">
        <w:rPr>
          <w:rFonts w:ascii="Tahoma" w:hAnsi="Tahoma" w:cs="Tahoma"/>
          <w:sz w:val="20"/>
          <w:szCs w:val="20"/>
        </w:rPr>
        <w:t>Mỹ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phải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lập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bảng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đối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chiếu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số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dư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tiền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giữa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số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dư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TK </w:t>
      </w:r>
      <w:proofErr w:type="spellStart"/>
      <w:r w:rsidR="00374842">
        <w:rPr>
          <w:rFonts w:ascii="Tahoma" w:hAnsi="Tahoma" w:cs="Tahoma"/>
          <w:sz w:val="20"/>
          <w:szCs w:val="20"/>
        </w:rPr>
        <w:t>trên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sổ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kế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toán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đơn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vị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và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số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dư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tại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ngân</w:t>
      </w:r>
      <w:proofErr w:type="spellEnd"/>
      <w:r w:rsidR="003748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4842">
        <w:rPr>
          <w:rFonts w:ascii="Tahoma" w:hAnsi="Tahoma" w:cs="Tahoma"/>
          <w:sz w:val="20"/>
          <w:szCs w:val="20"/>
        </w:rPr>
        <w:t>hàng</w:t>
      </w:r>
      <w:proofErr w:type="spellEnd"/>
      <w:r w:rsidR="00AE6FE3">
        <w:rPr>
          <w:rFonts w:ascii="Tahoma" w:hAnsi="Tahoma" w:cs="Tahoma"/>
          <w:sz w:val="20"/>
          <w:szCs w:val="20"/>
        </w:rPr>
        <w:t>.</w:t>
      </w:r>
      <w:proofErr w:type="gramEnd"/>
      <w:r w:rsidR="00AE6FE3">
        <w:rPr>
          <w:rFonts w:ascii="Tahoma" w:hAnsi="Tahoma" w:cs="Tahoma"/>
          <w:sz w:val="20"/>
          <w:szCs w:val="20"/>
        </w:rPr>
        <w:t xml:space="preserve"> </w:t>
      </w:r>
    </w:p>
    <w:p w:rsidR="00AE6FE3" w:rsidRDefault="00AE6FE3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chênh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lệch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mục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mà</w:t>
      </w:r>
      <w:proofErr w:type="spellEnd"/>
      <w:r>
        <w:rPr>
          <w:rFonts w:ascii="Tahoma" w:hAnsi="Tahoma" w:cs="Tahoma"/>
          <w:sz w:val="20"/>
          <w:szCs w:val="20"/>
        </w:rPr>
        <w:t xml:space="preserve"> ở </w:t>
      </w:r>
      <w:proofErr w:type="spellStart"/>
      <w:r>
        <w:rPr>
          <w:rFonts w:ascii="Tahoma" w:hAnsi="Tahoma" w:cs="Tahoma"/>
          <w:sz w:val="20"/>
          <w:szCs w:val="20"/>
        </w:rPr>
        <w:t>đó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biệt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số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dư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trên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sổ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cái</w:t>
      </w:r>
      <w:proofErr w:type="spellEnd"/>
      <w:r w:rsidR="006015E9">
        <w:rPr>
          <w:rFonts w:ascii="Tahoma" w:hAnsi="Tahoma" w:cs="Tahoma"/>
          <w:sz w:val="20"/>
          <w:szCs w:val="20"/>
        </w:rPr>
        <w:t>.</w:t>
      </w:r>
      <w:proofErr w:type="gram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Số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dư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cần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điều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chỉnh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của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TK </w:t>
      </w:r>
      <w:proofErr w:type="spellStart"/>
      <w:r w:rsidR="006015E9">
        <w:rPr>
          <w:rFonts w:ascii="Tahoma" w:hAnsi="Tahoma" w:cs="Tahoma"/>
          <w:sz w:val="20"/>
          <w:szCs w:val="20"/>
        </w:rPr>
        <w:t>tiền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trên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bảng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phân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tích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số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dư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sẽ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được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báo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cáo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lại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trên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bảng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cân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đối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kế</w:t>
      </w:r>
      <w:proofErr w:type="spellEnd"/>
      <w:r w:rsidR="00601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15E9">
        <w:rPr>
          <w:rFonts w:ascii="Tahoma" w:hAnsi="Tahoma" w:cs="Tahoma"/>
          <w:sz w:val="20"/>
          <w:szCs w:val="20"/>
        </w:rPr>
        <w:t>toán</w:t>
      </w:r>
      <w:proofErr w:type="spellEnd"/>
      <w:r w:rsidR="006015E9">
        <w:rPr>
          <w:rFonts w:ascii="Tahoma" w:hAnsi="Tahoma" w:cs="Tahoma"/>
          <w:sz w:val="20"/>
          <w:szCs w:val="20"/>
        </w:rPr>
        <w:t>.</w:t>
      </w:r>
    </w:p>
    <w:p w:rsidR="00CF2801" w:rsidRDefault="00EB3C88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chênh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lệch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thông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thường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thành</w:t>
      </w:r>
      <w:proofErr w:type="spellEnd"/>
      <w:r>
        <w:rPr>
          <w:rFonts w:ascii="Tahoma" w:hAnsi="Tahoma" w:cs="Tahoma"/>
          <w:sz w:val="20"/>
          <w:szCs w:val="20"/>
        </w:rPr>
        <w:t xml:space="preserve"> 2 </w:t>
      </w:r>
      <w:proofErr w:type="spellStart"/>
      <w:r>
        <w:rPr>
          <w:rFonts w:ascii="Tahoma" w:hAnsi="Tahoma" w:cs="Tahoma"/>
          <w:sz w:val="20"/>
          <w:szCs w:val="20"/>
        </w:rPr>
        <w:t>phần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EB3C88" w:rsidRDefault="005C180F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sz w:val="20"/>
          <w:szCs w:val="20"/>
        </w:rPr>
        <w:t>Phần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1614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4B1">
        <w:rPr>
          <w:rFonts w:ascii="Tahoma" w:hAnsi="Tahoma" w:cs="Tahoma"/>
          <w:sz w:val="20"/>
          <w:szCs w:val="20"/>
        </w:rPr>
        <w:t>bắt</w:t>
      </w:r>
      <w:proofErr w:type="spellEnd"/>
      <w:proofErr w:type="gramEnd"/>
      <w:r w:rsidR="001614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4B1">
        <w:rPr>
          <w:rFonts w:ascii="Tahoma" w:hAnsi="Tahoma" w:cs="Tahoma"/>
          <w:sz w:val="20"/>
          <w:szCs w:val="20"/>
        </w:rPr>
        <w:t>đầu</w:t>
      </w:r>
      <w:proofErr w:type="spellEnd"/>
      <w:r w:rsidR="001614B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4B1">
        <w:rPr>
          <w:rFonts w:ascii="Tahoma" w:hAnsi="Tahoma" w:cs="Tahoma"/>
          <w:sz w:val="20"/>
          <w:szCs w:val="20"/>
        </w:rPr>
        <w:t>kết</w:t>
      </w:r>
      <w:proofErr w:type="spellEnd"/>
      <w:r w:rsidR="001614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4B1">
        <w:rPr>
          <w:rFonts w:ascii="Tahoma" w:hAnsi="Tahoma" w:cs="Tahoma"/>
          <w:sz w:val="20"/>
          <w:szCs w:val="20"/>
        </w:rPr>
        <w:t>thúc</w:t>
      </w:r>
      <w:proofErr w:type="spellEnd"/>
      <w:r w:rsidR="001614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4B1">
        <w:rPr>
          <w:rFonts w:ascii="Tahoma" w:hAnsi="Tahoma" w:cs="Tahoma"/>
          <w:sz w:val="20"/>
          <w:szCs w:val="20"/>
        </w:rPr>
        <w:t>là</w:t>
      </w:r>
      <w:proofErr w:type="spellEnd"/>
      <w:r w:rsidR="001614B1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 w:rsidR="001614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 w:rsidR="001614B1">
        <w:rPr>
          <w:rFonts w:ascii="Tahoma" w:hAnsi="Tahoma" w:cs="Tahoma"/>
          <w:sz w:val="20"/>
          <w:szCs w:val="20"/>
        </w:rPr>
        <w:t>.</w:t>
      </w:r>
    </w:p>
    <w:p w:rsidR="001614B1" w:rsidRDefault="001614B1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sz w:val="20"/>
          <w:szCs w:val="20"/>
        </w:rPr>
        <w:t>Phần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công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bắt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đầu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hiện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TK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ở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thúc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842"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1614B1" w:rsidRDefault="001614B1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thông</w:t>
      </w:r>
      <w:proofErr w:type="spellEnd"/>
      <w:r>
        <w:rPr>
          <w:rFonts w:ascii="Tahoma" w:hAnsi="Tahoma" w:cs="Tahoma"/>
          <w:sz w:val="20"/>
          <w:szCs w:val="20"/>
        </w:rPr>
        <w:t xml:space="preserve"> tin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nhau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Mẫu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chênh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lệch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TK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mẫu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1614B1" w:rsidRDefault="001614B1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.75pt;width:260.35pt;height:133.15pt;z-index:251658240">
            <v:textbox style="mso-next-textbox:#_x0000_s1026">
              <w:txbxContent>
                <w:p w:rsidR="001614B1" w:rsidRDefault="001614B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dư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của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TK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tiền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theo</w:t>
                  </w:r>
                  <w:proofErr w:type="spellEnd"/>
                  <w:proofErr w:type="gram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ngân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hàng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$xxx</w:t>
                  </w:r>
                </w:p>
                <w:p w:rsidR="00BE2758" w:rsidRDefault="00BE275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Cộng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ghi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tăng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bên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Nợ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mà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ngân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hàng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bỏ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sót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ví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dụ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như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tiền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đang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chuyển</w:t>
                  </w:r>
                  <w:proofErr w:type="spellEnd"/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047842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$xx</w:t>
                  </w:r>
                </w:p>
                <w:p w:rsidR="00047842" w:rsidRDefault="00047842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Trừ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ghi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giảm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bên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Có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mà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không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có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trên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báo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cáo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của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ngân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hàng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ví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dụ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như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séc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hành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047842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xx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047842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xxx</w:t>
                  </w:r>
                </w:p>
                <w:p w:rsidR="00047842" w:rsidRPr="00047842" w:rsidRDefault="000478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dư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sau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điều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chỉnh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                              </w:t>
                  </w:r>
                  <w:r w:rsidRPr="00751CE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xxx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  <w:p w:rsidR="00047842" w:rsidRDefault="000478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47842" w:rsidRPr="00BE2758" w:rsidRDefault="000478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61818" w:rsidRDefault="00A61818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A61818" w:rsidRDefault="00A61818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A61818" w:rsidRDefault="00A61818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A61818" w:rsidRDefault="00A61818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A61818" w:rsidRDefault="00A61818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A61818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bdr w:val="none" w:sz="0" w:space="0" w:color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14.65pt;margin-top:7.2pt;width:.35pt;height:153pt;z-index:251662336" o:connectortype="straight"/>
        </w:pict>
      </w:r>
      <w:r>
        <w:rPr>
          <w:rFonts w:ascii="Tahoma" w:hAnsi="Tahoma" w:cs="Tahoma"/>
          <w:noProof/>
          <w:sz w:val="20"/>
          <w:szCs w:val="20"/>
          <w:bdr w:val="none" w:sz="0" w:space="0" w:color="auto"/>
        </w:rPr>
        <w:pict>
          <v:shape id="_x0000_s1031" type="#_x0000_t32" style="position:absolute;left:0;text-align:left;margin-left:297pt;margin-top:159.95pt;width:17.65pt;height:.25pt;flip:y;z-index:251661312" o:connectortype="straight"/>
        </w:pict>
      </w:r>
      <w:r>
        <w:rPr>
          <w:rFonts w:ascii="Tahoma" w:hAnsi="Tahoma" w:cs="Tahoma"/>
          <w:noProof/>
          <w:sz w:val="20"/>
          <w:szCs w:val="20"/>
          <w:bdr w:val="none" w:sz="0" w:space="0" w:color="auto"/>
        </w:rPr>
        <w:pict>
          <v:shape id="_x0000_s1028" type="#_x0000_t32" style="position:absolute;left:0;text-align:left;margin-left:297.35pt;margin-top:6.95pt;width:17.65pt;height:.25pt;flip:y;z-index:251660288" o:connectortype="straight"/>
        </w:pict>
      </w:r>
    </w:p>
    <w:p w:rsidR="00A61818" w:rsidRDefault="00A61818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A61818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bdr w:val="none" w:sz="0" w:space="0" w:color="auto"/>
        </w:rPr>
        <w:pict>
          <v:shape id="_x0000_s1033" type="#_x0000_t202" style="position:absolute;left:0;text-align:left;margin-left:318.1pt;margin-top:34.3pt;width:46.35pt;height:70.55pt;z-index:251663360" filled="f" stroked="f">
            <v:textbox style="mso-next-textbox:#_x0000_s1033">
              <w:txbxContent>
                <w:p w:rsidR="00751CE4" w:rsidRDefault="00751CE4">
                  <w:proofErr w:type="spellStart"/>
                  <w:r>
                    <w:t>Phải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bằng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nhau</w:t>
                  </w:r>
                  <w:proofErr w:type="spellEnd"/>
                </w:p>
              </w:txbxContent>
            </v:textbox>
          </v:shape>
        </w:pict>
      </w:r>
      <w:r w:rsidR="00A61818">
        <w:rPr>
          <w:rFonts w:ascii="Tahoma" w:hAnsi="Tahoma" w:cs="Tahoma"/>
          <w:noProof/>
          <w:sz w:val="20"/>
          <w:szCs w:val="20"/>
          <w:bdr w:val="none" w:sz="0" w:space="0" w:color="auto"/>
        </w:rPr>
        <w:pict>
          <v:shape id="_x0000_s1027" type="#_x0000_t202" style="position:absolute;left:0;text-align:left;margin-left:37pt;margin-top:9.65pt;width:260.35pt;height:133.15pt;z-index:251659264">
            <v:textbox style="mso-next-textbox:#_x0000_s1027">
              <w:txbxContent>
                <w:p w:rsidR="00A61818" w:rsidRDefault="00A61818" w:rsidP="00A61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dư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của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TK </w:t>
                  </w:r>
                  <w:proofErr w:type="spellStart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tiền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tại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doanh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nghiệp</w:t>
                  </w:r>
                  <w:proofErr w:type="spellEnd"/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BE2758">
                    <w:rPr>
                      <w:rFonts w:ascii="Tahoma" w:hAnsi="Tahoma" w:cs="Tahoma"/>
                      <w:sz w:val="20"/>
                      <w:szCs w:val="20"/>
                    </w:rPr>
                    <w:t>$xxx</w:t>
                  </w:r>
                </w:p>
                <w:p w:rsidR="00A61818" w:rsidRDefault="00A61818" w:rsidP="00A61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Cộng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không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ghi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vào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bên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Có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của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ngân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hàng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Ví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dụ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thương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phiếu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mà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ngân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hàng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đã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nhận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$xx</w:t>
                  </w:r>
                </w:p>
                <w:p w:rsidR="00A61818" w:rsidRDefault="00A61818" w:rsidP="00A61818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Trừ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ghi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giả</w:t>
                  </w:r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mà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ngân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hàng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đã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không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ghi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bên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Có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ví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dụ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séc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phí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dịch</w:t>
                  </w:r>
                  <w:proofErr w:type="spellEnd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>vụ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751CE4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047842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xx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047842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xxx</w:t>
                  </w:r>
                </w:p>
                <w:p w:rsidR="00A61818" w:rsidRPr="00047842" w:rsidRDefault="00A61818" w:rsidP="00A61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Số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dư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sau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điều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chỉnh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                              </w:t>
                  </w:r>
                  <w:r w:rsidRPr="00751CE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xxx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  <w:p w:rsidR="00A61818" w:rsidRDefault="00A61818" w:rsidP="00A61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61818" w:rsidRPr="00BE2758" w:rsidRDefault="00A61818" w:rsidP="00A61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</w:p>
    <w:p w:rsidR="00751CE4" w:rsidRDefault="00751CE4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chênh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lệch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8E3CEB" w:rsidRDefault="008E3CEB" w:rsidP="00BD75ED">
      <w:pPr>
        <w:pStyle w:val="Heading2"/>
        <w:ind w:left="0" w:firstLine="72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8E3CEB">
        <w:rPr>
          <w:rFonts w:ascii="Tahoma" w:hAnsi="Tahoma" w:cs="Tahoma"/>
          <w:b/>
          <w:sz w:val="20"/>
          <w:szCs w:val="20"/>
        </w:rPr>
        <w:t>Phần</w:t>
      </w:r>
      <w:proofErr w:type="spellEnd"/>
      <w:r w:rsidRPr="008E3CE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E3CEB">
        <w:rPr>
          <w:rFonts w:ascii="Tahoma" w:hAnsi="Tahoma" w:cs="Tahoma"/>
          <w:b/>
          <w:sz w:val="20"/>
          <w:szCs w:val="20"/>
        </w:rPr>
        <w:t>của</w:t>
      </w:r>
      <w:proofErr w:type="spellEnd"/>
      <w:r w:rsidRPr="008E3CE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E3CEB">
        <w:rPr>
          <w:rFonts w:ascii="Tahoma" w:hAnsi="Tahoma" w:cs="Tahoma"/>
          <w:b/>
          <w:sz w:val="20"/>
          <w:szCs w:val="20"/>
        </w:rPr>
        <w:t>ngân</w:t>
      </w:r>
      <w:proofErr w:type="spellEnd"/>
      <w:r w:rsidRPr="008E3CE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E3CEB">
        <w:rPr>
          <w:rFonts w:ascii="Tahoma" w:hAnsi="Tahoma" w:cs="Tahoma"/>
          <w:b/>
          <w:sz w:val="20"/>
          <w:szCs w:val="20"/>
        </w:rPr>
        <w:t>hàng</w:t>
      </w:r>
      <w:proofErr w:type="spellEnd"/>
      <w:r w:rsidRPr="008E3CEB">
        <w:rPr>
          <w:rFonts w:ascii="Tahoma" w:hAnsi="Tahoma" w:cs="Tahoma"/>
          <w:b/>
          <w:sz w:val="20"/>
          <w:szCs w:val="20"/>
        </w:rPr>
        <w:t>:</w:t>
      </w:r>
    </w:p>
    <w:p w:rsidR="008E3CEB" w:rsidRDefault="008E3CEB" w:rsidP="00BD75ED">
      <w:pPr>
        <w:pStyle w:val="Heading2"/>
        <w:ind w:left="0" w:firstLine="7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1: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</w:p>
    <w:p w:rsidR="00E75707" w:rsidRDefault="00E75707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2: </w:t>
      </w:r>
      <w:proofErr w:type="spellStart"/>
      <w:r>
        <w:rPr>
          <w:rFonts w:ascii="Tahoma" w:hAnsi="Tahoma" w:cs="Tahoma"/>
          <w:sz w:val="20"/>
          <w:szCs w:val="20"/>
        </w:rPr>
        <w:t>Cộng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tăng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chưa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</w:p>
    <w:p w:rsidR="00E75707" w:rsidRDefault="00E75707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diện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chuyển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nhưng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không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việc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sánh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chuyển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chuyển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chưa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chép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và</w:t>
      </w:r>
      <w:proofErr w:type="spellEnd"/>
      <w:r w:rsidR="003B39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những</w:t>
      </w:r>
      <w:proofErr w:type="spellEnd"/>
      <w:r w:rsidR="003B39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khoản</w:t>
      </w:r>
      <w:proofErr w:type="spellEnd"/>
      <w:r w:rsidR="003B39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chuyển</w:t>
      </w:r>
      <w:proofErr w:type="spellEnd"/>
      <w:r w:rsidR="003B39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tiền</w:t>
      </w:r>
      <w:proofErr w:type="spellEnd"/>
      <w:r w:rsidR="003B39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hiện</w:t>
      </w:r>
      <w:proofErr w:type="spellEnd"/>
      <w:r w:rsidR="003B39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3964">
        <w:rPr>
          <w:rFonts w:ascii="Tahoma" w:hAnsi="Tahoma" w:cs="Tahoma"/>
          <w:sz w:val="20"/>
          <w:szCs w:val="20"/>
        </w:rPr>
        <w:t>tại</w:t>
      </w:r>
      <w:proofErr w:type="spellEnd"/>
      <w:r w:rsidR="003B3964">
        <w:rPr>
          <w:rFonts w:ascii="Tahoma" w:hAnsi="Tahoma" w:cs="Tahoma"/>
          <w:sz w:val="20"/>
          <w:szCs w:val="20"/>
        </w:rPr>
        <w:t>.</w:t>
      </w:r>
      <w:proofErr w:type="gramEnd"/>
    </w:p>
    <w:p w:rsidR="003B3964" w:rsidRDefault="003B3964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3: </w:t>
      </w:r>
      <w:proofErr w:type="spellStart"/>
      <w:r>
        <w:rPr>
          <w:rFonts w:ascii="Tahoma" w:hAnsi="Tahoma" w:cs="Tahoma"/>
          <w:sz w:val="20"/>
          <w:szCs w:val="20"/>
        </w:rPr>
        <w:t>Trừ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0B9E">
        <w:rPr>
          <w:rFonts w:ascii="Tahoma" w:hAnsi="Tahoma" w:cs="Tahoma"/>
          <w:sz w:val="20"/>
          <w:szCs w:val="20"/>
        </w:rPr>
        <w:t>nhưng</w:t>
      </w:r>
      <w:proofErr w:type="spellEnd"/>
      <w:r w:rsidR="00D60B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0B9E">
        <w:rPr>
          <w:rFonts w:ascii="Tahoma" w:hAnsi="Tahoma" w:cs="Tahoma"/>
          <w:sz w:val="20"/>
          <w:szCs w:val="20"/>
        </w:rPr>
        <w:t>chưa</w:t>
      </w:r>
      <w:proofErr w:type="spellEnd"/>
      <w:r w:rsidR="00D60B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0B9E">
        <w:rPr>
          <w:rFonts w:ascii="Tahoma" w:hAnsi="Tahoma" w:cs="Tahoma"/>
          <w:sz w:val="20"/>
          <w:szCs w:val="20"/>
        </w:rPr>
        <w:t>được</w:t>
      </w:r>
      <w:proofErr w:type="spellEnd"/>
      <w:r w:rsidR="00D60B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0B9E">
        <w:rPr>
          <w:rFonts w:ascii="Tahoma" w:hAnsi="Tahoma" w:cs="Tahoma"/>
          <w:sz w:val="20"/>
          <w:szCs w:val="20"/>
        </w:rPr>
        <w:t>ngân</w:t>
      </w:r>
      <w:proofErr w:type="spellEnd"/>
      <w:r w:rsidR="00D60B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0B9E">
        <w:rPr>
          <w:rFonts w:ascii="Tahoma" w:hAnsi="Tahoma" w:cs="Tahoma"/>
          <w:sz w:val="20"/>
          <w:szCs w:val="20"/>
        </w:rPr>
        <w:t>hàng</w:t>
      </w:r>
      <w:proofErr w:type="spellEnd"/>
      <w:r w:rsidR="00D60B9E">
        <w:rPr>
          <w:rFonts w:ascii="Tahoma" w:hAnsi="Tahoma" w:cs="Tahoma"/>
          <w:sz w:val="20"/>
          <w:szCs w:val="20"/>
        </w:rPr>
        <w:t xml:space="preserve"> chi </w:t>
      </w:r>
      <w:proofErr w:type="spellStart"/>
      <w:r w:rsidR="00D60B9E">
        <w:rPr>
          <w:rFonts w:ascii="Tahoma" w:hAnsi="Tahoma" w:cs="Tahoma"/>
          <w:sz w:val="20"/>
          <w:szCs w:val="20"/>
        </w:rPr>
        <w:t>trả</w:t>
      </w:r>
      <w:proofErr w:type="spellEnd"/>
    </w:p>
    <w:p w:rsidR="00D60B9E" w:rsidRDefault="00327741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việc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sánh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chi </w:t>
      </w:r>
      <w:proofErr w:type="spellStart"/>
      <w:r>
        <w:rPr>
          <w:rFonts w:ascii="Tahoma" w:hAnsi="Tahoma" w:cs="Tahoma"/>
          <w:sz w:val="20"/>
          <w:szCs w:val="20"/>
        </w:rPr>
        <w:t>trả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xuất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hiện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tích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Ví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điểm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cuối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kỳ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327741" w:rsidRDefault="00327741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4: </w:t>
      </w:r>
      <w:proofErr w:type="spellStart"/>
      <w:r>
        <w:rPr>
          <w:rFonts w:ascii="Tahoma" w:hAnsi="Tahoma" w:cs="Tahoma"/>
          <w:sz w:val="20"/>
          <w:szCs w:val="20"/>
        </w:rPr>
        <w:t>Xác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định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việc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ở </w:t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2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ở </w:t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3.</w:t>
      </w:r>
    </w:p>
    <w:p w:rsidR="00327741" w:rsidRDefault="00327741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Phần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</w:p>
    <w:p w:rsidR="008A73A5" w:rsidRDefault="008A73A5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5: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cuối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vị</w:t>
      </w:r>
      <w:proofErr w:type="spellEnd"/>
    </w:p>
    <w:p w:rsidR="008A73A5" w:rsidRDefault="008A73A5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6: </w:t>
      </w:r>
      <w:proofErr w:type="spellStart"/>
      <w:r>
        <w:rPr>
          <w:rFonts w:ascii="Tahoma" w:hAnsi="Tahoma" w:cs="Tahoma"/>
          <w:sz w:val="20"/>
          <w:szCs w:val="20"/>
        </w:rPr>
        <w:t>Cộng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thu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giảm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sz w:val="20"/>
          <w:szCs w:val="20"/>
        </w:rPr>
        <w:t>nhưng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chưa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</w:p>
    <w:p w:rsidR="008A73A5" w:rsidRDefault="008A73A5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thu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chưa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việc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sánh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dịch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ký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Ví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dụ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BF2B7C">
        <w:rPr>
          <w:rFonts w:ascii="Tahoma" w:hAnsi="Tahoma" w:cs="Tahoma"/>
          <w:sz w:val="20"/>
          <w:szCs w:val="20"/>
        </w:rPr>
        <w:t>Một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thương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phiếu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phải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BF2B7C">
        <w:rPr>
          <w:rFonts w:ascii="Tahoma" w:hAnsi="Tahoma" w:cs="Tahoma"/>
          <w:sz w:val="20"/>
          <w:szCs w:val="20"/>
        </w:rPr>
        <w:t>thu</w:t>
      </w:r>
      <w:proofErr w:type="spellEnd"/>
      <w:proofErr w:type="gram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và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khoản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tiền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lãi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mà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ngân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hàng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đã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thu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tiền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cho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doanh</w:t>
      </w:r>
      <w:proofErr w:type="spellEnd"/>
      <w:r w:rsidR="00BF2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2B7C">
        <w:rPr>
          <w:rFonts w:ascii="Tahoma" w:hAnsi="Tahoma" w:cs="Tahoma"/>
          <w:sz w:val="20"/>
          <w:szCs w:val="20"/>
        </w:rPr>
        <w:t>nghiệp</w:t>
      </w:r>
      <w:proofErr w:type="spellEnd"/>
      <w:r w:rsidR="00BF2B7C">
        <w:rPr>
          <w:rFonts w:ascii="Tahoma" w:hAnsi="Tahoma" w:cs="Tahoma"/>
          <w:sz w:val="20"/>
          <w:szCs w:val="20"/>
        </w:rPr>
        <w:t>.</w:t>
      </w:r>
    </w:p>
    <w:p w:rsidR="00017327" w:rsidRDefault="00017327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7: </w:t>
      </w:r>
      <w:proofErr w:type="spellStart"/>
      <w:r>
        <w:rPr>
          <w:rFonts w:ascii="Tahoma" w:hAnsi="Tahoma" w:cs="Tahoma"/>
          <w:sz w:val="20"/>
          <w:szCs w:val="20"/>
        </w:rPr>
        <w:t>Trừ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chưa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017327" w:rsidRDefault="00017327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chưa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việc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sánh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thương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phiếu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trả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bút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ký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Ví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dụ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Các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không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đủ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phí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dịch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017327" w:rsidRDefault="00017327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8: </w:t>
      </w:r>
      <w:proofErr w:type="spellStart"/>
      <w:r>
        <w:rPr>
          <w:rFonts w:ascii="Tahoma" w:hAnsi="Tahoma" w:cs="Tahoma"/>
          <w:sz w:val="20"/>
          <w:szCs w:val="20"/>
        </w:rPr>
        <w:t>Xác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định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việc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ở </w:t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6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ở </w:t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7.</w:t>
      </w:r>
    </w:p>
    <w:p w:rsidR="00017327" w:rsidRDefault="00017327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Bước</w:t>
      </w:r>
      <w:proofErr w:type="spellEnd"/>
      <w:r>
        <w:rPr>
          <w:rFonts w:ascii="Tahoma" w:hAnsi="Tahoma" w:cs="Tahoma"/>
          <w:sz w:val="20"/>
          <w:szCs w:val="20"/>
        </w:rPr>
        <w:t xml:space="preserve"> 9: </w:t>
      </w:r>
      <w:proofErr w:type="spellStart"/>
      <w:r w:rsidR="008679AC">
        <w:rPr>
          <w:rFonts w:ascii="Tahoma" w:hAnsi="Tahoma" w:cs="Tahoma"/>
          <w:sz w:val="20"/>
          <w:szCs w:val="20"/>
        </w:rPr>
        <w:t>Kiểm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tra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số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dư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sau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điểm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chỉnh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giũa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bước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="008679AC">
        <w:rPr>
          <w:rFonts w:ascii="Tahoma" w:hAnsi="Tahoma" w:cs="Tahoma"/>
          <w:sz w:val="20"/>
          <w:szCs w:val="20"/>
        </w:rPr>
        <w:t>và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bước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8 </w:t>
      </w:r>
      <w:proofErr w:type="spellStart"/>
      <w:r w:rsidR="008679AC">
        <w:rPr>
          <w:rFonts w:ascii="Tahoma" w:hAnsi="Tahoma" w:cs="Tahoma"/>
          <w:sz w:val="20"/>
          <w:szCs w:val="20"/>
        </w:rPr>
        <w:t>phải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bằng</w:t>
      </w:r>
      <w:proofErr w:type="spellEnd"/>
      <w:r w:rsidR="008679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79AC">
        <w:rPr>
          <w:rFonts w:ascii="Tahoma" w:hAnsi="Tahoma" w:cs="Tahoma"/>
          <w:sz w:val="20"/>
          <w:szCs w:val="20"/>
        </w:rPr>
        <w:t>nhau</w:t>
      </w:r>
      <w:proofErr w:type="spellEnd"/>
      <w:r w:rsidR="008679AC">
        <w:rPr>
          <w:rFonts w:ascii="Tahoma" w:hAnsi="Tahoma" w:cs="Tahoma"/>
          <w:sz w:val="20"/>
          <w:szCs w:val="20"/>
        </w:rPr>
        <w:t>.</w:t>
      </w:r>
    </w:p>
    <w:p w:rsidR="008679AC" w:rsidRDefault="008679AC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nhau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không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có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mục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bỏ</w:t>
      </w:r>
      <w:proofErr w:type="spellEnd"/>
      <w:r>
        <w:rPr>
          <w:rFonts w:ascii="Tahoma" w:hAnsi="Tahoma" w:cs="Tahoma"/>
          <w:sz w:val="20"/>
          <w:szCs w:val="20"/>
        </w:rPr>
        <w:t xml:space="preserve"> qua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chúng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tìm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679AC" w:rsidRPr="008E3CEB" w:rsidRDefault="008679AC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Đôi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điều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chỉnh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giữa</w:t>
      </w:r>
      <w:proofErr w:type="spellEnd"/>
      <w:r>
        <w:rPr>
          <w:rFonts w:ascii="Tahoma" w:hAnsi="Tahoma" w:cs="Tahoma"/>
          <w:sz w:val="20"/>
          <w:szCs w:val="20"/>
        </w:rPr>
        <w:t xml:space="preserve"> 2 </w:t>
      </w:r>
      <w:proofErr w:type="spellStart"/>
      <w:r>
        <w:rPr>
          <w:rFonts w:ascii="Tahoma" w:hAnsi="Tahoma" w:cs="Tahoma"/>
          <w:sz w:val="20"/>
          <w:szCs w:val="20"/>
        </w:rPr>
        <w:t>bên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không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hoặc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hoặc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trường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hợp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này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tiền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này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tìm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dựa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sự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sánh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từng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mục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cáo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ngân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hàng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liệu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chép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nghiệp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8E3CEB" w:rsidRDefault="008E3CEB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p w:rsidR="00751CE4" w:rsidRDefault="00751CE4" w:rsidP="00BE6DD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sectPr w:rsidR="00751CE4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2CD2F6F"/>
    <w:multiLevelType w:val="hybridMultilevel"/>
    <w:tmpl w:val="971A3630"/>
    <w:lvl w:ilvl="0" w:tplc="12627FC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B563D7"/>
    <w:rsid w:val="00017327"/>
    <w:rsid w:val="000400D8"/>
    <w:rsid w:val="00047842"/>
    <w:rsid w:val="00080F96"/>
    <w:rsid w:val="00086F7A"/>
    <w:rsid w:val="00096BA4"/>
    <w:rsid w:val="000D5906"/>
    <w:rsid w:val="000D5AAA"/>
    <w:rsid w:val="000E7017"/>
    <w:rsid w:val="000F334F"/>
    <w:rsid w:val="000F3756"/>
    <w:rsid w:val="000F3A79"/>
    <w:rsid w:val="00103E86"/>
    <w:rsid w:val="001217DD"/>
    <w:rsid w:val="00141B84"/>
    <w:rsid w:val="00143D33"/>
    <w:rsid w:val="001614B1"/>
    <w:rsid w:val="00162FBA"/>
    <w:rsid w:val="00163EA0"/>
    <w:rsid w:val="001749F7"/>
    <w:rsid w:val="00190137"/>
    <w:rsid w:val="0019429D"/>
    <w:rsid w:val="00195C76"/>
    <w:rsid w:val="001B143E"/>
    <w:rsid w:val="001D20F4"/>
    <w:rsid w:val="001D53AA"/>
    <w:rsid w:val="001E2084"/>
    <w:rsid w:val="001E3F82"/>
    <w:rsid w:val="001E5028"/>
    <w:rsid w:val="00203FBA"/>
    <w:rsid w:val="00205C01"/>
    <w:rsid w:val="0022077E"/>
    <w:rsid w:val="00256C19"/>
    <w:rsid w:val="00271379"/>
    <w:rsid w:val="00275AEE"/>
    <w:rsid w:val="0028483F"/>
    <w:rsid w:val="00286A6F"/>
    <w:rsid w:val="002972E1"/>
    <w:rsid w:val="002B19C3"/>
    <w:rsid w:val="002B332F"/>
    <w:rsid w:val="002B5854"/>
    <w:rsid w:val="002C7C6E"/>
    <w:rsid w:val="002D7055"/>
    <w:rsid w:val="002E0022"/>
    <w:rsid w:val="002F27E5"/>
    <w:rsid w:val="00314443"/>
    <w:rsid w:val="00327741"/>
    <w:rsid w:val="00345AEA"/>
    <w:rsid w:val="0034750F"/>
    <w:rsid w:val="00351B57"/>
    <w:rsid w:val="00354F6E"/>
    <w:rsid w:val="00355E73"/>
    <w:rsid w:val="00361FE9"/>
    <w:rsid w:val="00374842"/>
    <w:rsid w:val="00376227"/>
    <w:rsid w:val="00377962"/>
    <w:rsid w:val="0038440E"/>
    <w:rsid w:val="003A39F9"/>
    <w:rsid w:val="003A4170"/>
    <w:rsid w:val="003A4A6F"/>
    <w:rsid w:val="003A7D18"/>
    <w:rsid w:val="003B3964"/>
    <w:rsid w:val="003C159C"/>
    <w:rsid w:val="003C2071"/>
    <w:rsid w:val="003D19A3"/>
    <w:rsid w:val="003D4C66"/>
    <w:rsid w:val="003D7973"/>
    <w:rsid w:val="004036A7"/>
    <w:rsid w:val="00411E25"/>
    <w:rsid w:val="004122E2"/>
    <w:rsid w:val="00421BED"/>
    <w:rsid w:val="004226E7"/>
    <w:rsid w:val="0042533D"/>
    <w:rsid w:val="00434245"/>
    <w:rsid w:val="00440535"/>
    <w:rsid w:val="00441C26"/>
    <w:rsid w:val="004475C3"/>
    <w:rsid w:val="00463770"/>
    <w:rsid w:val="00463923"/>
    <w:rsid w:val="00463E94"/>
    <w:rsid w:val="004643CE"/>
    <w:rsid w:val="00472382"/>
    <w:rsid w:val="00495A66"/>
    <w:rsid w:val="004B4930"/>
    <w:rsid w:val="004C29F7"/>
    <w:rsid w:val="004C482B"/>
    <w:rsid w:val="004C547B"/>
    <w:rsid w:val="004E672E"/>
    <w:rsid w:val="004F60D8"/>
    <w:rsid w:val="005021FA"/>
    <w:rsid w:val="005058B0"/>
    <w:rsid w:val="005322E5"/>
    <w:rsid w:val="005574A6"/>
    <w:rsid w:val="00585054"/>
    <w:rsid w:val="005A15CF"/>
    <w:rsid w:val="005A4D92"/>
    <w:rsid w:val="005A4FD7"/>
    <w:rsid w:val="005B1892"/>
    <w:rsid w:val="005C180F"/>
    <w:rsid w:val="005C2BC3"/>
    <w:rsid w:val="005C4A2A"/>
    <w:rsid w:val="005C4F85"/>
    <w:rsid w:val="006015A6"/>
    <w:rsid w:val="006015E9"/>
    <w:rsid w:val="00614B8E"/>
    <w:rsid w:val="00616B9C"/>
    <w:rsid w:val="006236AD"/>
    <w:rsid w:val="006319DE"/>
    <w:rsid w:val="00665BDF"/>
    <w:rsid w:val="00673820"/>
    <w:rsid w:val="0068316F"/>
    <w:rsid w:val="00692E3A"/>
    <w:rsid w:val="00694FA2"/>
    <w:rsid w:val="006A1C8A"/>
    <w:rsid w:val="006A6C43"/>
    <w:rsid w:val="006B060F"/>
    <w:rsid w:val="006D4428"/>
    <w:rsid w:val="006E0767"/>
    <w:rsid w:val="006E3AB8"/>
    <w:rsid w:val="006E43EC"/>
    <w:rsid w:val="00704D46"/>
    <w:rsid w:val="00751CE4"/>
    <w:rsid w:val="00752049"/>
    <w:rsid w:val="007819B9"/>
    <w:rsid w:val="007E5AAF"/>
    <w:rsid w:val="007F19C9"/>
    <w:rsid w:val="007F3B4A"/>
    <w:rsid w:val="007F7A79"/>
    <w:rsid w:val="007F7F89"/>
    <w:rsid w:val="00804D18"/>
    <w:rsid w:val="00806D12"/>
    <w:rsid w:val="008124DE"/>
    <w:rsid w:val="00812BDA"/>
    <w:rsid w:val="00855DF1"/>
    <w:rsid w:val="0086104C"/>
    <w:rsid w:val="008679AC"/>
    <w:rsid w:val="00872C4B"/>
    <w:rsid w:val="0087540D"/>
    <w:rsid w:val="00877014"/>
    <w:rsid w:val="008A2217"/>
    <w:rsid w:val="008A281D"/>
    <w:rsid w:val="008A73A5"/>
    <w:rsid w:val="008A77DE"/>
    <w:rsid w:val="008B4147"/>
    <w:rsid w:val="008B6672"/>
    <w:rsid w:val="008C3AA9"/>
    <w:rsid w:val="008E15DC"/>
    <w:rsid w:val="008E1B42"/>
    <w:rsid w:val="008E3CEB"/>
    <w:rsid w:val="008F3D81"/>
    <w:rsid w:val="009019B2"/>
    <w:rsid w:val="009026B9"/>
    <w:rsid w:val="00911A71"/>
    <w:rsid w:val="009166DA"/>
    <w:rsid w:val="009226A7"/>
    <w:rsid w:val="00952F28"/>
    <w:rsid w:val="00966952"/>
    <w:rsid w:val="009674EF"/>
    <w:rsid w:val="00983516"/>
    <w:rsid w:val="00986991"/>
    <w:rsid w:val="0099608E"/>
    <w:rsid w:val="00996600"/>
    <w:rsid w:val="009A08D5"/>
    <w:rsid w:val="009A410B"/>
    <w:rsid w:val="009E3ADD"/>
    <w:rsid w:val="00A01DEF"/>
    <w:rsid w:val="00A061FF"/>
    <w:rsid w:val="00A068FD"/>
    <w:rsid w:val="00A10C99"/>
    <w:rsid w:val="00A42C5E"/>
    <w:rsid w:val="00A463A7"/>
    <w:rsid w:val="00A4660E"/>
    <w:rsid w:val="00A526FC"/>
    <w:rsid w:val="00A6039E"/>
    <w:rsid w:val="00A61818"/>
    <w:rsid w:val="00A837F5"/>
    <w:rsid w:val="00A91615"/>
    <w:rsid w:val="00AA501C"/>
    <w:rsid w:val="00AA51DF"/>
    <w:rsid w:val="00AB1A20"/>
    <w:rsid w:val="00AB6D02"/>
    <w:rsid w:val="00AC52A7"/>
    <w:rsid w:val="00AD0760"/>
    <w:rsid w:val="00AD1711"/>
    <w:rsid w:val="00AD432A"/>
    <w:rsid w:val="00AE6FE3"/>
    <w:rsid w:val="00AF37BF"/>
    <w:rsid w:val="00B02A64"/>
    <w:rsid w:val="00B06F3B"/>
    <w:rsid w:val="00B07349"/>
    <w:rsid w:val="00B13B71"/>
    <w:rsid w:val="00B24FD5"/>
    <w:rsid w:val="00B4332F"/>
    <w:rsid w:val="00B45170"/>
    <w:rsid w:val="00B45359"/>
    <w:rsid w:val="00B563D7"/>
    <w:rsid w:val="00B65989"/>
    <w:rsid w:val="00B736FA"/>
    <w:rsid w:val="00B76DAE"/>
    <w:rsid w:val="00B90EFD"/>
    <w:rsid w:val="00BB3012"/>
    <w:rsid w:val="00BB73A1"/>
    <w:rsid w:val="00BD30FA"/>
    <w:rsid w:val="00BD75ED"/>
    <w:rsid w:val="00BE2758"/>
    <w:rsid w:val="00BE4EEB"/>
    <w:rsid w:val="00BE6DDF"/>
    <w:rsid w:val="00BF2B7C"/>
    <w:rsid w:val="00BF6436"/>
    <w:rsid w:val="00C053D1"/>
    <w:rsid w:val="00C07AC1"/>
    <w:rsid w:val="00C15752"/>
    <w:rsid w:val="00C25F41"/>
    <w:rsid w:val="00C53E12"/>
    <w:rsid w:val="00C6657A"/>
    <w:rsid w:val="00C91DF2"/>
    <w:rsid w:val="00CA4053"/>
    <w:rsid w:val="00CA6BD3"/>
    <w:rsid w:val="00CC0996"/>
    <w:rsid w:val="00CC3107"/>
    <w:rsid w:val="00CD21B4"/>
    <w:rsid w:val="00CD6925"/>
    <w:rsid w:val="00CD74AA"/>
    <w:rsid w:val="00CE41EF"/>
    <w:rsid w:val="00CE44FD"/>
    <w:rsid w:val="00CF2801"/>
    <w:rsid w:val="00CF76CB"/>
    <w:rsid w:val="00D1165F"/>
    <w:rsid w:val="00D17559"/>
    <w:rsid w:val="00D20A4D"/>
    <w:rsid w:val="00D24B85"/>
    <w:rsid w:val="00D413D7"/>
    <w:rsid w:val="00D60B9E"/>
    <w:rsid w:val="00D73B58"/>
    <w:rsid w:val="00D90A89"/>
    <w:rsid w:val="00DA1F13"/>
    <w:rsid w:val="00DA280A"/>
    <w:rsid w:val="00DA5695"/>
    <w:rsid w:val="00DD4DFA"/>
    <w:rsid w:val="00DD4F73"/>
    <w:rsid w:val="00DD75A7"/>
    <w:rsid w:val="00DE1636"/>
    <w:rsid w:val="00DE578A"/>
    <w:rsid w:val="00DE7120"/>
    <w:rsid w:val="00DE7453"/>
    <w:rsid w:val="00DF197C"/>
    <w:rsid w:val="00DF705F"/>
    <w:rsid w:val="00E60D3A"/>
    <w:rsid w:val="00E61555"/>
    <w:rsid w:val="00E75707"/>
    <w:rsid w:val="00E7631E"/>
    <w:rsid w:val="00E93935"/>
    <w:rsid w:val="00E95B35"/>
    <w:rsid w:val="00EB10FF"/>
    <w:rsid w:val="00EB3C88"/>
    <w:rsid w:val="00EB5CD0"/>
    <w:rsid w:val="00EC0A9E"/>
    <w:rsid w:val="00EC2062"/>
    <w:rsid w:val="00EE47A7"/>
    <w:rsid w:val="00EE72EB"/>
    <w:rsid w:val="00EE7974"/>
    <w:rsid w:val="00EF2A53"/>
    <w:rsid w:val="00EF2E90"/>
    <w:rsid w:val="00EF5E3A"/>
    <w:rsid w:val="00F21F49"/>
    <w:rsid w:val="00F256A3"/>
    <w:rsid w:val="00F34A3A"/>
    <w:rsid w:val="00F4415F"/>
    <w:rsid w:val="00F710F9"/>
    <w:rsid w:val="00F71206"/>
    <w:rsid w:val="00FA43C6"/>
    <w:rsid w:val="00FD2AA4"/>
    <w:rsid w:val="00F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7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C"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16</cp:revision>
  <dcterms:created xsi:type="dcterms:W3CDTF">2018-06-18T06:51:00Z</dcterms:created>
  <dcterms:modified xsi:type="dcterms:W3CDTF">2018-06-18T08:59:00Z</dcterms:modified>
</cp:coreProperties>
</file>