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Default="004122E2" w:rsidP="00FA43C6">
      <w:pPr>
        <w:pStyle w:val="Heading2"/>
      </w:pPr>
      <w:r w:rsidRPr="00FA43C6">
        <w:t>THÔNG TIN THAY ĐỔI VỀ CHẾ ĐỘ KẾ TOÁN, THUẾ THEO HỆ THỐNG VĂN BẢN MỚI</w:t>
      </w:r>
    </w:p>
    <w:p w:rsidR="00FA43C6" w:rsidRPr="00FA43C6" w:rsidRDefault="00FA43C6" w:rsidP="00FA43C6">
      <w:pPr>
        <w:pStyle w:val="Heading2"/>
      </w:pPr>
    </w:p>
    <w:p w:rsidR="00B563D7" w:rsidRPr="00FA43C6" w:rsidRDefault="00FA43C6" w:rsidP="00FA43C6">
      <w:pPr>
        <w:pStyle w:val="Heading2"/>
      </w:pPr>
      <w:r>
        <w:t xml:space="preserve">                                                                  </w:t>
      </w:r>
      <w:r w:rsidR="00B563D7" w:rsidRPr="00FA43C6">
        <w:t>Giảng viên: Nguyễn Thị Kim Hương</w:t>
      </w:r>
    </w:p>
    <w:p w:rsidR="004122E2" w:rsidRPr="00FA43C6" w:rsidRDefault="004122E2" w:rsidP="00FA43C6">
      <w:pPr>
        <w:pStyle w:val="Heading3"/>
        <w:spacing w:before="60" w:after="60"/>
        <w:jc w:val="both"/>
        <w:rPr>
          <w:rFonts w:cs="Times New Roman"/>
          <w:b w:val="0"/>
        </w:rPr>
      </w:pPr>
      <w:proofErr w:type="gramStart"/>
      <w:r w:rsidRPr="00FA43C6">
        <w:rPr>
          <w:rFonts w:cs="Times New Roman"/>
          <w:b w:val="0"/>
        </w:rPr>
        <w:t>Kế toán, thuế là những lĩnh vực luôn luôn có sự thay đổi trong chế độ ghi chép và trích nộp.</w:t>
      </w:r>
      <w:proofErr w:type="gramEnd"/>
      <w:r w:rsidRPr="00FA43C6">
        <w:rPr>
          <w:rFonts w:cs="Times New Roman"/>
          <w:b w:val="0"/>
        </w:rPr>
        <w:t xml:space="preserve"> </w:t>
      </w:r>
      <w:proofErr w:type="gramStart"/>
      <w:r w:rsidRPr="00FA43C6">
        <w:rPr>
          <w:rFonts w:cs="Times New Roman"/>
          <w:b w:val="0"/>
        </w:rPr>
        <w:t>Để tránh những lỗi thời trong công tác kế toán và thuế, kế toán ở các doanh nghiệp cần cập nhật những thay đổi trong thời gian gần đây.</w:t>
      </w:r>
      <w:proofErr w:type="gramEnd"/>
      <w:r w:rsidRPr="00FA43C6">
        <w:rPr>
          <w:rFonts w:cs="Times New Roman"/>
          <w:b w:val="0"/>
        </w:rPr>
        <w:t xml:space="preserve"> Cụ thể:</w:t>
      </w:r>
    </w:p>
    <w:tbl>
      <w:tblPr>
        <w:tblW w:w="5000" w:type="pct"/>
        <w:tblCellSpacing w:w="0" w:type="dxa"/>
        <w:shd w:val="clear" w:color="auto" w:fill="FFFFFF"/>
        <w:tblCellMar>
          <w:left w:w="0" w:type="dxa"/>
          <w:right w:w="0" w:type="dxa"/>
        </w:tblCellMar>
        <w:tblLook w:val="04A0"/>
      </w:tblPr>
      <w:tblGrid>
        <w:gridCol w:w="520"/>
        <w:gridCol w:w="8840"/>
      </w:tblGrid>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1.</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5" w:tgtFrame="_blank" w:history="1">
              <w:r w:rsidRPr="00FA43C6">
                <w:rPr>
                  <w:rFonts w:ascii="Times New Roman" w:eastAsia="Times New Roman" w:hAnsi="Times New Roman" w:cs="Times New Roman"/>
                  <w:bCs/>
                  <w:sz w:val="26"/>
                  <w:szCs w:val="26"/>
                </w:rPr>
                <w:t>Không hoàn thuế với hàng tồn kho sẽ giảm gian lận thuế</w:t>
              </w:r>
            </w:hyperlink>
            <w:r w:rsidRPr="004122E2">
              <w:rPr>
                <w:rFonts w:ascii="Times New Roman" w:eastAsia="Times New Roman" w:hAnsi="Times New Roman" w:cs="Times New Roman"/>
                <w:sz w:val="26"/>
                <w:szCs w:val="26"/>
              </w:rPr>
              <w:br/>
              <w:t>Nhiều chuyên gia về thuế khi được hỏi về quy định “Không hoàn thuế đối với thuế giá trị gia tăng (GTGT) đầu vào âm 12 tháng liên tục do vẫn còn hàng tồn kho” cho rằng đây là biện pháp đảm bảo sự công bằng, giảm được gian lận, hạn chế doanh nghiệp (DN) lợi dụng chính sách trước đây để hoàn thuế.</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2.</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6" w:tgtFrame="_blank" w:history="1">
              <w:r w:rsidRPr="00FA43C6">
                <w:rPr>
                  <w:rFonts w:ascii="Times New Roman" w:eastAsia="Times New Roman" w:hAnsi="Times New Roman" w:cs="Times New Roman"/>
                  <w:bCs/>
                  <w:sz w:val="26"/>
                  <w:szCs w:val="26"/>
                </w:rPr>
                <w:t>Ưu đãi thuế với hoạt động công nghệ thông tin</w:t>
              </w:r>
            </w:hyperlink>
            <w:r w:rsidRPr="004122E2">
              <w:rPr>
                <w:rFonts w:ascii="Times New Roman" w:eastAsia="Times New Roman" w:hAnsi="Times New Roman" w:cs="Times New Roman"/>
                <w:sz w:val="26"/>
                <w:szCs w:val="26"/>
              </w:rPr>
              <w:br/>
              <w:t>Chính phủ vừa ban hành Nghị quyết số 41/NQ-CP về chính sách ưu đãi thuế thúc đẩy phát triển và ứng dụng công nghệ thông tin (CNTT) tại Việt Nam.</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7" w:tgtFrame="_blank" w:history="1">
              <w:r w:rsidRPr="00FA43C6">
                <w:rPr>
                  <w:rFonts w:ascii="Times New Roman" w:eastAsia="Times New Roman" w:hAnsi="Times New Roman" w:cs="Times New Roman"/>
                  <w:bCs/>
                  <w:sz w:val="26"/>
                  <w:szCs w:val="26"/>
                </w:rPr>
                <w:t>Ngày 20 và 27/05/2016 là 2 đợt cập nhật các văn bản mới - văn bản hướng dẫn trong lĩnh vực Thuế trên ứng dụng VBPL. </w:t>
              </w:r>
            </w:hyperlink>
            <w:r w:rsidRPr="004122E2">
              <w:rPr>
                <w:rFonts w:ascii="Times New Roman" w:eastAsia="Times New Roman" w:hAnsi="Times New Roman" w:cs="Times New Roman"/>
                <w:sz w:val="26"/>
                <w:szCs w:val="26"/>
              </w:rPr>
              <w:br/>
              <w:t>Trong 02 đợt cập nhật này, có 74 văn bản hướng dẫn, danh sách các văn bản như sau:</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3.1</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8" w:tgtFrame="_blank" w:history="1">
              <w:r w:rsidRPr="00FA43C6">
                <w:rPr>
                  <w:rFonts w:ascii="Times New Roman" w:eastAsia="Times New Roman" w:hAnsi="Times New Roman" w:cs="Times New Roman"/>
                  <w:bCs/>
                  <w:sz w:val="26"/>
                  <w:szCs w:val="26"/>
                </w:rPr>
                <w:t>Doanh nghiệp thực hiện chương trình khuyến mãi tặng voucher điện tử cho khách hàng để mua hàng tại các trung tâm các trung tâm điện máy, siêu thị, cửa hàng được chỉ định. Voucher điện tử được doanh nghiệp mua của các trung tâm điện máy, siêu thị, cửa hàng thì chưa phát sinh hoạt động bán hàng hóa nên các trung tâm điện máy, siêu thị, cửa hàng chưa phải lập hóa đơn GTGT mà lập chứng từ thu, doanh nghiệp thực hiện lập chứng từ chi theo quy định.</w:t>
              </w:r>
            </w:hyperlink>
            <w:r w:rsidRPr="004122E2">
              <w:rPr>
                <w:rFonts w:ascii="Times New Roman" w:eastAsia="Times New Roman" w:hAnsi="Times New Roman" w:cs="Times New Roman"/>
                <w:sz w:val="26"/>
                <w:szCs w:val="26"/>
              </w:rPr>
              <w:br/>
              <w:t>Hướng dẫn tại công văn 29342/CT-HTr ngày 11/05/2016 của Cục Thuế Thành phố Hà Nội.</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lastRenderedPageBreak/>
              <w:t>3.2</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9" w:tgtFrame="_blank" w:history="1">
              <w:r w:rsidRPr="00FA43C6">
                <w:rPr>
                  <w:rFonts w:ascii="Times New Roman" w:eastAsia="Times New Roman" w:hAnsi="Times New Roman" w:cs="Times New Roman"/>
                  <w:bCs/>
                  <w:sz w:val="26"/>
                  <w:szCs w:val="26"/>
                </w:rPr>
                <w:t>Doanh nghiệp thực hiện trích lập Quỹ phát triển khoa học và công nghệ, trường hợp doanh nghiệp hoàn nhập quỹ khoa học công nghệ trong thời gian 5 năm kể từ khi trích lập thì không phải nộp tiền lãi tương ứng số thuế TNDN phát sinh do hoàn nhập quỹ khoa học công nghệ. </w:t>
              </w:r>
            </w:hyperlink>
            <w:r w:rsidRPr="004122E2">
              <w:rPr>
                <w:rFonts w:ascii="Times New Roman" w:eastAsia="Times New Roman" w:hAnsi="Times New Roman" w:cs="Times New Roman"/>
                <w:sz w:val="26"/>
                <w:szCs w:val="26"/>
              </w:rPr>
              <w:br/>
              <w:t>Hướng dẫn tại công văn 2131/TCT-DNL ngày 19/05/2016 của Tổng cục Thuế.</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3.3</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10" w:tgtFrame="_blank" w:history="1">
              <w:r w:rsidRPr="00FA43C6">
                <w:rPr>
                  <w:rFonts w:ascii="Times New Roman" w:eastAsia="Times New Roman" w:hAnsi="Times New Roman" w:cs="Times New Roman"/>
                  <w:bCs/>
                  <w:sz w:val="26"/>
                  <w:szCs w:val="26"/>
                </w:rPr>
                <w:t xml:space="preserve">Doanh nghiệp làm chủ đầu tư dự </w:t>
              </w:r>
              <w:proofErr w:type="gramStart"/>
              <w:r w:rsidRPr="00FA43C6">
                <w:rPr>
                  <w:rFonts w:ascii="Times New Roman" w:eastAsia="Times New Roman" w:hAnsi="Times New Roman" w:cs="Times New Roman"/>
                  <w:bCs/>
                  <w:sz w:val="26"/>
                  <w:szCs w:val="26"/>
                </w:rPr>
                <w:t>án</w:t>
              </w:r>
              <w:proofErr w:type="gramEnd"/>
              <w:r w:rsidRPr="00FA43C6">
                <w:rPr>
                  <w:rFonts w:ascii="Times New Roman" w:eastAsia="Times New Roman" w:hAnsi="Times New Roman" w:cs="Times New Roman"/>
                  <w:bCs/>
                  <w:sz w:val="26"/>
                  <w:szCs w:val="26"/>
                </w:rPr>
                <w:t xml:space="preserve"> đầu tư, do gặp khó khăn doanh nghiệp đã xin dừng triển khai phần còn lại của dự án. Nhưng doanh nghiệp đã triển khai thực hiện một số công việc liên quan đến phần còn lại của dự </w:t>
              </w:r>
              <w:proofErr w:type="gramStart"/>
              <w:r w:rsidRPr="00FA43C6">
                <w:rPr>
                  <w:rFonts w:ascii="Times New Roman" w:eastAsia="Times New Roman" w:hAnsi="Times New Roman" w:cs="Times New Roman"/>
                  <w:bCs/>
                  <w:sz w:val="26"/>
                  <w:szCs w:val="26"/>
                </w:rPr>
                <w:t>án</w:t>
              </w:r>
              <w:proofErr w:type="gramEnd"/>
              <w:r w:rsidRPr="00FA43C6">
                <w:rPr>
                  <w:rFonts w:ascii="Times New Roman" w:eastAsia="Times New Roman" w:hAnsi="Times New Roman" w:cs="Times New Roman"/>
                  <w:bCs/>
                  <w:sz w:val="26"/>
                  <w:szCs w:val="26"/>
                </w:rPr>
                <w:t xml:space="preserve"> nên phát sinh thuế GTGT đầu vào đã thực hiện kê khai khấu trừ. Doanh nghiệp sẽ thực hiện lập hóa đơn, tính thuế GTGT theo thực tế phát sinh theo quy định khi dự án được chuyển giao cho đơn vị khác để tiếp tục thực hiện dự án hoặc thanh quyết to</w:t>
              </w:r>
              <w:r w:rsidR="00FA43C6">
                <w:rPr>
                  <w:rFonts w:ascii="Times New Roman" w:eastAsia="Times New Roman" w:hAnsi="Times New Roman" w:cs="Times New Roman"/>
                  <w:bCs/>
                  <w:sz w:val="26"/>
                  <w:szCs w:val="26"/>
                </w:rPr>
                <w:t xml:space="preserve">án với cơ quan Nhà nước có thẩm </w:t>
              </w:r>
              <w:r w:rsidRPr="00FA43C6">
                <w:rPr>
                  <w:rFonts w:ascii="Times New Roman" w:eastAsia="Times New Roman" w:hAnsi="Times New Roman" w:cs="Times New Roman"/>
                  <w:bCs/>
                  <w:sz w:val="26"/>
                  <w:szCs w:val="26"/>
                </w:rPr>
                <w:t>quyền.</w:t>
              </w:r>
            </w:hyperlink>
            <w:r w:rsidRPr="004122E2">
              <w:rPr>
                <w:rFonts w:ascii="Times New Roman" w:eastAsia="Times New Roman" w:hAnsi="Times New Roman" w:cs="Times New Roman"/>
                <w:sz w:val="26"/>
                <w:szCs w:val="26"/>
              </w:rPr>
              <w:br/>
              <w:t>Hướng dẫn tại công văn 31301/CT-HTr ngày 17/05/2016 của Cục Thuế TP Hà Nội.</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3.4</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jc w:val="both"/>
              <w:rPr>
                <w:rFonts w:ascii="Times New Roman" w:eastAsia="Times New Roman" w:hAnsi="Times New Roman" w:cs="Times New Roman"/>
                <w:sz w:val="26"/>
                <w:szCs w:val="26"/>
              </w:rPr>
            </w:pPr>
            <w:hyperlink r:id="rId11" w:tgtFrame="_blank" w:history="1">
              <w:r w:rsidRPr="00FA43C6">
                <w:rPr>
                  <w:rFonts w:ascii="Times New Roman" w:eastAsia="Times New Roman" w:hAnsi="Times New Roman" w:cs="Times New Roman"/>
                  <w:bCs/>
                  <w:sz w:val="26"/>
                  <w:szCs w:val="26"/>
                </w:rPr>
                <w:t>Doanh nghiệp có giám đốc là người nước ngoài, là cá nhân cư trú tại Việt Nam, trong năm tính thuế đầu tiên kể từ tháng đến Việt Nam đã nộp thuế TNCN ở nước ngoài thì sẽ được khấu trừ vào tiền thuế TNCN phải nộp tại Việt Nam, và số thuế TNCN được trừ không vượt quá số thuế TNCN phải nộp tính theo biểu thuế của Việt Nam tính phân bổ cho phần thu nhập phát sinh tại nước ngoài. </w:t>
              </w:r>
            </w:hyperlink>
            <w:r w:rsidRPr="004122E2">
              <w:rPr>
                <w:rFonts w:ascii="Times New Roman" w:eastAsia="Times New Roman" w:hAnsi="Times New Roman" w:cs="Times New Roman"/>
                <w:sz w:val="26"/>
                <w:szCs w:val="26"/>
              </w:rPr>
              <w:br/>
              <w:t>Hướng dẫn tại công văn 29727/CT-HTr ngày 12/05/2016 của Cục Thuế TP Hà Nội.</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3.5</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jc w:val="both"/>
              <w:rPr>
                <w:rFonts w:ascii="Times New Roman" w:eastAsia="Times New Roman" w:hAnsi="Times New Roman" w:cs="Times New Roman"/>
                <w:sz w:val="26"/>
                <w:szCs w:val="26"/>
              </w:rPr>
            </w:pPr>
            <w:hyperlink r:id="rId12" w:tgtFrame="_blank" w:history="1">
              <w:r w:rsidRPr="00FA43C6">
                <w:rPr>
                  <w:rFonts w:ascii="Times New Roman" w:eastAsia="Times New Roman" w:hAnsi="Times New Roman" w:cs="Times New Roman"/>
                  <w:bCs/>
                  <w:sz w:val="26"/>
                  <w:szCs w:val="26"/>
                </w:rPr>
                <w:t>Doanh nghiệp ký hợp đồng, thỏa thuận hoặc cam kết với Nhà thầu nước ngoài, khi đó Nhà thầu nước ngoài có thu nhập phát sinh tại Việt Nam và thuộc đối tượng nộp thuế GTGT, thuế TNDN nhưng không thuộc đối tượng và điều kiện áp dụng phương pháp kê khai, phương pháp hỗn hợp thì doanh nghiệp có trách nhiệm khấu trừ nộp thay thuế GTGT, thuế TNDN trước khi thanh toán cho Nhà thầu nước ngoài.</w:t>
              </w:r>
            </w:hyperlink>
            <w:r w:rsidRPr="004122E2">
              <w:rPr>
                <w:rFonts w:ascii="Times New Roman" w:eastAsia="Times New Roman" w:hAnsi="Times New Roman" w:cs="Times New Roman"/>
                <w:sz w:val="26"/>
                <w:szCs w:val="26"/>
              </w:rPr>
              <w:br/>
              <w:t>Hướng dẫn tại công văn 29340/CT-HTr ngày 11/05/2016 của Cục Thuế TP Hà Nội.</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3.6</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13" w:tgtFrame="_blank" w:history="1">
              <w:r w:rsidRPr="00FA43C6">
                <w:rPr>
                  <w:rFonts w:ascii="Times New Roman" w:eastAsia="Times New Roman" w:hAnsi="Times New Roman" w:cs="Times New Roman"/>
                  <w:bCs/>
                  <w:sz w:val="26"/>
                  <w:szCs w:val="26"/>
                </w:rPr>
                <w:t xml:space="preserve">Doanh nghiệp có lô hàng xuất khẩu bị khách hàng nước ngoài trả lại, doanh nghiệp tiếp tục tái chế và xuất khẩu bán hết các lô hàng nêu trên thì doanh nghiệp sẽ được </w:t>
              </w:r>
              <w:r w:rsidRPr="00FA43C6">
                <w:rPr>
                  <w:rFonts w:ascii="Times New Roman" w:eastAsia="Times New Roman" w:hAnsi="Times New Roman" w:cs="Times New Roman"/>
                  <w:bCs/>
                  <w:sz w:val="26"/>
                  <w:szCs w:val="26"/>
                </w:rPr>
                <w:lastRenderedPageBreak/>
                <w:t>xem xét, giải quyết hoàn thuế GTGT đầu vào theo quy định hiện hành nếu doanh nghiệp đảm bảo sự phù hợp giữa hồ sơ gốc lô hàng xuất khẩu, lô hàng bên nước ngoài trả lại, lô hàng xuất khẩu sau khi tái chế về các thủ tục, điều kiện được khấu trừ, hoàn thuế GTGT.</w:t>
              </w:r>
            </w:hyperlink>
            <w:r w:rsidRPr="004122E2">
              <w:rPr>
                <w:rFonts w:ascii="Times New Roman" w:eastAsia="Times New Roman" w:hAnsi="Times New Roman" w:cs="Times New Roman"/>
                <w:sz w:val="26"/>
                <w:szCs w:val="26"/>
              </w:rPr>
              <w:br/>
              <w:t>Hướng dẫn tại công văn 2104/TCT-KK ngày 18/05/2016 của Tổng cục Thuế.</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lastRenderedPageBreak/>
              <w:t>3.7</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14" w:tgtFrame="_blank" w:history="1">
              <w:r w:rsidRPr="00FA43C6">
                <w:rPr>
                  <w:rFonts w:ascii="Times New Roman" w:eastAsia="Times New Roman" w:hAnsi="Times New Roman" w:cs="Times New Roman"/>
                  <w:bCs/>
                  <w:sz w:val="26"/>
                  <w:szCs w:val="26"/>
                </w:rPr>
                <w:t>Doanh nghiệp đóng góp tiền vào Quỹ phòng, chống thiên tai, các khoản thu của Quỹ không phải không thuộc ngân sách nhà nước và cũng không phải trường hợp cung cấp hàng hóa, dịch vụ, do đó Quỹ đã sử dụng chứng từ là phiếu thu khi thu các khoản theo quy định, doanh nghiệp sử dụng chứng từ chi tiền để hạch toán vào chi phí hoạt động sản xuất kinh doanh của doanh nghiệp.</w:t>
              </w:r>
            </w:hyperlink>
            <w:r w:rsidRPr="004122E2">
              <w:rPr>
                <w:rFonts w:ascii="Times New Roman" w:eastAsia="Times New Roman" w:hAnsi="Times New Roman" w:cs="Times New Roman"/>
                <w:sz w:val="26"/>
                <w:szCs w:val="26"/>
              </w:rPr>
              <w:br/>
              <w:t>Hướng dẫn tại công văn 1881/TCT-CS ngày 05/05/2016 của Tổng cục Thuế.</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3.8</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15" w:tgtFrame="_blank" w:history="1">
              <w:r w:rsidRPr="00FA43C6">
                <w:rPr>
                  <w:rFonts w:ascii="Times New Roman" w:eastAsia="Times New Roman" w:hAnsi="Times New Roman" w:cs="Times New Roman"/>
                  <w:bCs/>
                  <w:sz w:val="26"/>
                  <w:szCs w:val="26"/>
                </w:rPr>
                <w:t>Doanh nghiệp thành lập doanh nghiệp khác để tiếp tục thực hiện dự án của doanh nghiệp, doanh nghiệp sẽ không phải kê khai, nộp thuế nếu doanh nghiệp cung cấp đầy đủ: biên bản góp vốn sản xuất kinh doanh, văn bản định giá của tổ chức có chức năng định giá theo quy định của pháp luật kèm theo bộ hồ sơ về nguồn gốc tài sản hình thành dự án.</w:t>
              </w:r>
            </w:hyperlink>
            <w:r w:rsidRPr="004122E2">
              <w:rPr>
                <w:rFonts w:ascii="Times New Roman" w:eastAsia="Times New Roman" w:hAnsi="Times New Roman" w:cs="Times New Roman"/>
                <w:sz w:val="26"/>
                <w:szCs w:val="26"/>
              </w:rPr>
              <w:br/>
              <w:t>Hướng dẫn tại công văn 1868/TCT-CS ngày 05/05/2016 của Tổng cục Thuế.</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3.9</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16" w:tgtFrame="_blank" w:history="1">
              <w:r w:rsidRPr="00FA43C6">
                <w:rPr>
                  <w:rFonts w:ascii="Times New Roman" w:eastAsia="Times New Roman" w:hAnsi="Times New Roman" w:cs="Times New Roman"/>
                  <w:bCs/>
                  <w:sz w:val="26"/>
                  <w:szCs w:val="26"/>
                </w:rPr>
                <w:t>Doanh nghiệp khai thác nước dưới đất phục vụ cho hoạt động sản xuất, kinh doanh, dịch vụ với quy mô không vượt quá 10 m3/ngày đêm thì doanh nghiệp không phải đăng ký, không cấp Giấy phép khai thác tài nguyên theo Luật Tài nguyên nước thuộc đối tượng phải nộp thuế tài nguyên theo quy định.</w:t>
              </w:r>
            </w:hyperlink>
            <w:r w:rsidRPr="004122E2">
              <w:rPr>
                <w:rFonts w:ascii="Times New Roman" w:eastAsia="Times New Roman" w:hAnsi="Times New Roman" w:cs="Times New Roman"/>
                <w:sz w:val="26"/>
                <w:szCs w:val="26"/>
              </w:rPr>
              <w:br/>
              <w:t>Hướng dẫn tại công văn 1879/TCT-CS ngày 05/05/2016 của Tổng cục Thuế.</w:t>
            </w:r>
          </w:p>
        </w:tc>
      </w:tr>
      <w:tr w:rsidR="004122E2" w:rsidRPr="004122E2" w:rsidTr="004122E2">
        <w:trPr>
          <w:tblCellSpacing w:w="0" w:type="dxa"/>
        </w:trPr>
        <w:tc>
          <w:tcPr>
            <w:tcW w:w="200" w:type="pct"/>
            <w:shd w:val="clear" w:color="auto" w:fill="FFFFFF"/>
            <w:hideMark/>
          </w:tcPr>
          <w:p w:rsidR="004122E2" w:rsidRPr="004122E2" w:rsidRDefault="00FA43C6" w:rsidP="00FA43C6">
            <w:pPr>
              <w:spacing w:before="60" w:after="60" w:line="360" w:lineRule="auto"/>
              <w:jc w:val="both"/>
              <w:rPr>
                <w:rFonts w:ascii="Times New Roman" w:eastAsia="Times New Roman" w:hAnsi="Times New Roman" w:cs="Times New Roman"/>
                <w:sz w:val="26"/>
                <w:szCs w:val="26"/>
              </w:rPr>
            </w:pPr>
            <w:r w:rsidRPr="00FA43C6">
              <w:rPr>
                <w:rFonts w:ascii="Times New Roman" w:eastAsia="Times New Roman" w:hAnsi="Times New Roman" w:cs="Times New Roman"/>
                <w:sz w:val="26"/>
                <w:szCs w:val="26"/>
              </w:rPr>
              <w:t>3.10</w:t>
            </w:r>
            <w:r w:rsidR="004122E2" w:rsidRPr="004122E2">
              <w:rPr>
                <w:rFonts w:ascii="Times New Roman" w:eastAsia="Times New Roman" w:hAnsi="Times New Roman" w:cs="Times New Roman"/>
                <w:sz w:val="26"/>
                <w:szCs w:val="26"/>
              </w:rPr>
              <w:t>.</w:t>
            </w:r>
          </w:p>
        </w:tc>
        <w:tc>
          <w:tcPr>
            <w:tcW w:w="4800" w:type="pct"/>
            <w:shd w:val="clear" w:color="auto" w:fill="FFFFFF"/>
            <w:hideMark/>
          </w:tcPr>
          <w:p w:rsidR="004122E2" w:rsidRPr="004122E2" w:rsidRDefault="004122E2" w:rsidP="00FA43C6">
            <w:pPr>
              <w:spacing w:before="60" w:after="60" w:line="360" w:lineRule="auto"/>
              <w:rPr>
                <w:rFonts w:ascii="Times New Roman" w:eastAsia="Times New Roman" w:hAnsi="Times New Roman" w:cs="Times New Roman"/>
                <w:sz w:val="26"/>
                <w:szCs w:val="26"/>
              </w:rPr>
            </w:pPr>
            <w:hyperlink r:id="rId17" w:tgtFrame="_blank" w:history="1">
              <w:r w:rsidRPr="00FA43C6">
                <w:rPr>
                  <w:rFonts w:ascii="Times New Roman" w:eastAsia="Times New Roman" w:hAnsi="Times New Roman" w:cs="Times New Roman"/>
                  <w:bCs/>
                  <w:sz w:val="26"/>
                  <w:szCs w:val="26"/>
                </w:rPr>
                <w:t>Doanh nghiệp có lao động là người nước ngoài, đã kết thúc hợp đồng và rời khỏi Việt Nam từ đầu tháng 03/2015 thì trong năm 2015 người lao động này được xác định là cá nhân không cư trú tại Việt Nam, thu nhập chịu thuế năm 2015 được kê khai và nộp thuế TNCN theo thuế suất 20% và không phải quyết toán thuế khi rời Việt Nam.</w:t>
              </w:r>
            </w:hyperlink>
            <w:r w:rsidRPr="004122E2">
              <w:rPr>
                <w:rFonts w:ascii="Times New Roman" w:eastAsia="Times New Roman" w:hAnsi="Times New Roman" w:cs="Times New Roman"/>
                <w:sz w:val="26"/>
                <w:szCs w:val="26"/>
              </w:rPr>
              <w:br/>
            </w:r>
            <w:r w:rsidRPr="004122E2">
              <w:rPr>
                <w:rFonts w:ascii="Times New Roman" w:eastAsia="Times New Roman" w:hAnsi="Times New Roman" w:cs="Times New Roman"/>
                <w:sz w:val="26"/>
                <w:szCs w:val="26"/>
              </w:rPr>
              <w:lastRenderedPageBreak/>
              <w:t>Hướng dẫn tại công văn 31787/CT-HTr ngày 17/05/2016 của Cục Thuế TP Hà Nội.</w:t>
            </w:r>
          </w:p>
        </w:tc>
      </w:tr>
    </w:tbl>
    <w:p w:rsidR="00616B9C" w:rsidRPr="00FA43C6" w:rsidRDefault="00616B9C" w:rsidP="00FA43C6">
      <w:pPr>
        <w:pStyle w:val="Heading3"/>
        <w:spacing w:before="60" w:after="60"/>
        <w:jc w:val="both"/>
        <w:rPr>
          <w:rFonts w:cs="Times New Roman"/>
          <w:b w:val="0"/>
        </w:rPr>
      </w:pPr>
    </w:p>
    <w:p w:rsidR="00FA43C6" w:rsidRPr="00FA43C6" w:rsidRDefault="00FA43C6" w:rsidP="00FA43C6">
      <w:pPr>
        <w:pStyle w:val="Heading3"/>
        <w:spacing w:before="60" w:after="60"/>
        <w:jc w:val="both"/>
        <w:rPr>
          <w:rFonts w:cs="Times New Roman"/>
          <w:b w:val="0"/>
        </w:rPr>
      </w:pPr>
    </w:p>
    <w:p w:rsidR="00FA43C6" w:rsidRPr="00FA43C6" w:rsidRDefault="00FA43C6" w:rsidP="00FA43C6">
      <w:pPr>
        <w:pStyle w:val="Heading3"/>
        <w:spacing w:before="60" w:after="60"/>
        <w:jc w:val="both"/>
        <w:rPr>
          <w:rFonts w:cs="Times New Roman"/>
          <w:b w:val="0"/>
        </w:rPr>
      </w:pPr>
    </w:p>
    <w:sectPr w:rsidR="00FA43C6" w:rsidRPr="00FA43C6"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563D7"/>
    <w:rsid w:val="004122E2"/>
    <w:rsid w:val="004C547B"/>
    <w:rsid w:val="00616B9C"/>
    <w:rsid w:val="006319DE"/>
    <w:rsid w:val="008F3D81"/>
    <w:rsid w:val="00B563D7"/>
    <w:rsid w:val="00CC3107"/>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B563D7"/>
    <w:pPr>
      <w:numPr>
        <w:numId w:val="1"/>
      </w:numPr>
      <w:spacing w:before="100" w:beforeAutospacing="1" w:after="100"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FA43C6"/>
    <w:pPr>
      <w:spacing w:before="60" w:after="60" w:line="360" w:lineRule="auto"/>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4122E2"/>
    <w:pPr>
      <w:keepNext/>
      <w:spacing w:before="120" w:after="0" w:line="360" w:lineRule="auto"/>
      <w:ind w:firstLine="720"/>
      <w:outlineLvl w:val="2"/>
    </w:pPr>
    <w:rPr>
      <w:rFonts w:ascii="Times New Roman" w:eastAsia="Times New Roman" w:hAnsi="Times New Roman" w:cs="Arial"/>
      <w:b/>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3D7"/>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FA43C6"/>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4122E2"/>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semiHidden/>
    <w:unhideWhenUsed/>
    <w:rsid w:val="004122E2"/>
    <w:rPr>
      <w:color w:val="0000FF"/>
      <w:u w:val="single"/>
    </w:rPr>
  </w:style>
  <w:style w:type="character" w:customStyle="1" w:styleId="apple-converted-space">
    <w:name w:val="apple-converted-space"/>
    <w:basedOn w:val="DefaultParagraphFont"/>
    <w:rsid w:val="004122E2"/>
  </w:style>
</w:styles>
</file>

<file path=word/webSettings.xml><?xml version="1.0" encoding="utf-8"?>
<w:webSettings xmlns:r="http://schemas.openxmlformats.org/officeDocument/2006/relationships" xmlns:w="http://schemas.openxmlformats.org/wordprocessingml/2006/main">
  <w:divs>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ts24.com.vn/ems/link.php?M=1175302&amp;N=1390&amp;L=3227&amp;F=H" TargetMode="External"/><Relationship Id="rId13" Type="http://schemas.openxmlformats.org/officeDocument/2006/relationships/hyperlink" Target="http://ems.ts24.com.vn/ems/link.php?M=1175302&amp;N=1390&amp;L=3220&amp;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s.ts24.com.vn/ems/link.php?M=1175302&amp;N=1390&amp;L=3230&amp;F=H" TargetMode="External"/><Relationship Id="rId12" Type="http://schemas.openxmlformats.org/officeDocument/2006/relationships/hyperlink" Target="http://ems.ts24.com.vn/ems/link.php?M=1175302&amp;N=1390&amp;L=3235&amp;F=H" TargetMode="External"/><Relationship Id="rId17" Type="http://schemas.openxmlformats.org/officeDocument/2006/relationships/hyperlink" Target="http://ems.ts24.com.vn/ems/link.php?M=1175302&amp;N=1390&amp;L=3232&amp;F=H" TargetMode="External"/><Relationship Id="rId2" Type="http://schemas.openxmlformats.org/officeDocument/2006/relationships/styles" Target="styles.xml"/><Relationship Id="rId16" Type="http://schemas.openxmlformats.org/officeDocument/2006/relationships/hyperlink" Target="http://ems.ts24.com.vn/ems/link.php?M=1175302&amp;N=1390&amp;L=3224&amp;F=H" TargetMode="External"/><Relationship Id="rId1" Type="http://schemas.openxmlformats.org/officeDocument/2006/relationships/numbering" Target="numbering.xml"/><Relationship Id="rId6" Type="http://schemas.openxmlformats.org/officeDocument/2006/relationships/hyperlink" Target="http://ems.ts24.com.vn/ems/link.php?M=1175302&amp;N=1390&amp;L=3223&amp;F=H" TargetMode="External"/><Relationship Id="rId11" Type="http://schemas.openxmlformats.org/officeDocument/2006/relationships/hyperlink" Target="http://ems.ts24.com.vn/ems/link.php?M=1175302&amp;N=1390&amp;L=3222&amp;F=H" TargetMode="External"/><Relationship Id="rId5" Type="http://schemas.openxmlformats.org/officeDocument/2006/relationships/hyperlink" Target="http://ems.ts24.com.vn/ems/link.php?M=1175302&amp;N=1390&amp;L=3219&amp;F=H" TargetMode="External"/><Relationship Id="rId15" Type="http://schemas.openxmlformats.org/officeDocument/2006/relationships/hyperlink" Target="http://ems.ts24.com.vn/ems/link.php?M=1175302&amp;N=1390&amp;L=3217&amp;F=H" TargetMode="External"/><Relationship Id="rId10" Type="http://schemas.openxmlformats.org/officeDocument/2006/relationships/hyperlink" Target="http://ems.ts24.com.vn/ems/link.php?M=1175302&amp;N=1390&amp;L=3231&amp;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s.ts24.com.vn/ems/link.php?M=1175302&amp;N=1390&amp;L=3216&amp;F=H" TargetMode="External"/><Relationship Id="rId14" Type="http://schemas.openxmlformats.org/officeDocument/2006/relationships/hyperlink" Target="http://ems.ts24.com.vn/ems/link.php?M=1175302&amp;N=1390&amp;L=3229&amp;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2016-06-16T02:00:00Z</dcterms:created>
  <dcterms:modified xsi:type="dcterms:W3CDTF">2016-06-16T02:18:00Z</dcterms:modified>
</cp:coreProperties>
</file>