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271379" w:rsidRDefault="00A6039E" w:rsidP="00D1165F">
      <w:pPr>
        <w:pStyle w:val="Heading2"/>
        <w:ind w:left="0" w:firstLine="720"/>
        <w:jc w:val="center"/>
        <w:rPr>
          <w:rFonts w:ascii="Tahoma" w:hAnsi="Tahoma" w:cs="Tahoma"/>
          <w:b/>
          <w:szCs w:val="20"/>
        </w:rPr>
      </w:pPr>
      <w:r>
        <w:rPr>
          <w:rFonts w:ascii="Tahoma" w:hAnsi="Tahoma" w:cs="Tahoma"/>
          <w:b/>
          <w:szCs w:val="20"/>
        </w:rPr>
        <w:t>ĐỊNH LUẬT SARBANES OXLEY CỦA MỸ VỀ KIỂM SOÁT NỘI BỘ</w:t>
      </w:r>
    </w:p>
    <w:p w:rsidR="00B563D7" w:rsidRDefault="00B563D7" w:rsidP="00D1165F">
      <w:pPr>
        <w:pStyle w:val="Heading2"/>
        <w:ind w:left="0" w:firstLine="720"/>
        <w:jc w:val="right"/>
        <w:rPr>
          <w:rFonts w:ascii="Tahoma" w:hAnsi="Tahoma" w:cs="Tahoma"/>
          <w:sz w:val="20"/>
          <w:szCs w:val="20"/>
        </w:rPr>
      </w:pPr>
      <w:r w:rsidRPr="00D1165F">
        <w:rPr>
          <w:rFonts w:ascii="Tahoma" w:hAnsi="Tahoma" w:cs="Tahoma"/>
          <w:sz w:val="20"/>
          <w:szCs w:val="20"/>
        </w:rPr>
        <w:t>Giảng viên: Nguyễn Thị Kim Hương</w:t>
      </w:r>
    </w:p>
    <w:p w:rsidR="00A6039E" w:rsidRDefault="00A6039E" w:rsidP="00A6039E">
      <w:pPr>
        <w:pStyle w:val="Heading2"/>
        <w:ind w:left="0" w:firstLine="720"/>
        <w:jc w:val="left"/>
        <w:rPr>
          <w:rFonts w:ascii="Tahoma" w:hAnsi="Tahoma" w:cs="Tahoma"/>
          <w:sz w:val="20"/>
          <w:szCs w:val="20"/>
        </w:rPr>
      </w:pPr>
      <w:r>
        <w:rPr>
          <w:rFonts w:ascii="Tahoma" w:hAnsi="Tahoma" w:cs="Tahoma"/>
          <w:sz w:val="20"/>
          <w:szCs w:val="20"/>
        </w:rPr>
        <w:t>Theo các tin đồn hiện nay, những người chủ sở hữu, chủ nợ và những nhà đầu tư khác đã bị tổn thất hàng tỷ đô la. Vì vậy, chính phủ Mỹ đã xây dựng định luật Sarbanes Oxley. Đây là một đạo luật rất quan trọng ảnh hưởng đến các công ty ở Mỹ trong hiện tại. Mục đích của đạo luật này là nhằm mục đích đảm bảo các bằng chứng công khai và tin cậy về các bảng khai tài chính tại các công ty.</w:t>
      </w:r>
    </w:p>
    <w:p w:rsidR="00A6039E" w:rsidRDefault="00A6039E" w:rsidP="00A6039E">
      <w:pPr>
        <w:pStyle w:val="Heading2"/>
        <w:ind w:left="0" w:firstLine="720"/>
        <w:jc w:val="left"/>
        <w:rPr>
          <w:rFonts w:ascii="Tahoma" w:hAnsi="Tahoma" w:cs="Tahoma"/>
          <w:sz w:val="20"/>
          <w:szCs w:val="20"/>
        </w:rPr>
      </w:pPr>
      <w:r>
        <w:rPr>
          <w:rFonts w:ascii="Tahoma" w:hAnsi="Tahoma" w:cs="Tahoma"/>
          <w:sz w:val="20"/>
          <w:szCs w:val="20"/>
        </w:rPr>
        <w:t>Định luật Sarbanes Oxley áp dụng đối với các công ty mà cổ phiếu của nó được công khai trên thị trường</w:t>
      </w:r>
      <w:r w:rsidR="00286A6F">
        <w:rPr>
          <w:rFonts w:ascii="Tahoma" w:hAnsi="Tahoma" w:cs="Tahoma"/>
          <w:sz w:val="20"/>
          <w:szCs w:val="20"/>
        </w:rPr>
        <w:t xml:space="preserve"> và được giới thiệu đến các công ty được tổ chức công khai. Tuy nhiên, điểm quan trọng nhất của đạo luật này là kiểm soát sự lừa gạt trong báo cáo tài chính của các công ty. Theo đó, tất cả các công ty mở mọi quy mô sẽ chịu sự rằng buộc của Sarbanes- Oxley.</w:t>
      </w:r>
    </w:p>
    <w:p w:rsidR="00286A6F" w:rsidRDefault="00286A6F" w:rsidP="00A6039E">
      <w:pPr>
        <w:pStyle w:val="Heading2"/>
        <w:ind w:left="0" w:firstLine="720"/>
        <w:jc w:val="left"/>
        <w:rPr>
          <w:rFonts w:ascii="Tahoma" w:hAnsi="Tahoma" w:cs="Tahoma"/>
          <w:sz w:val="20"/>
          <w:szCs w:val="20"/>
        </w:rPr>
      </w:pPr>
      <w:r>
        <w:rPr>
          <w:rFonts w:ascii="Tahoma" w:hAnsi="Tahoma" w:cs="Tahoma"/>
          <w:sz w:val="20"/>
          <w:szCs w:val="20"/>
        </w:rPr>
        <w:t xml:space="preserve">Điểm nhấn mạnh  về tầm quan trọng của đạo luật Sarbanes- Oxley </w:t>
      </w:r>
      <w:r w:rsidR="0042533D">
        <w:rPr>
          <w:rFonts w:ascii="Tahoma" w:hAnsi="Tahoma" w:cs="Tahoma"/>
          <w:sz w:val="20"/>
          <w:szCs w:val="20"/>
        </w:rPr>
        <w:t xml:space="preserve">là hiểu quả của kiểm soát nội bộ. Kiểm soát nội bộ được khái niệm </w:t>
      </w:r>
      <w:r w:rsidR="005021FA">
        <w:rPr>
          <w:rFonts w:ascii="Tahoma" w:hAnsi="Tahoma" w:cs="Tahoma"/>
          <w:sz w:val="20"/>
          <w:szCs w:val="20"/>
        </w:rPr>
        <w:t>là các thủ tuc và quy trình được áp dụng tại công ty để:</w:t>
      </w:r>
    </w:p>
    <w:p w:rsidR="005021FA" w:rsidRDefault="005021FA" w:rsidP="00A6039E">
      <w:pPr>
        <w:pStyle w:val="Heading2"/>
        <w:ind w:left="0" w:firstLine="720"/>
        <w:jc w:val="left"/>
        <w:rPr>
          <w:rFonts w:ascii="Tahoma" w:hAnsi="Tahoma" w:cs="Tahoma"/>
          <w:sz w:val="20"/>
          <w:szCs w:val="20"/>
        </w:rPr>
      </w:pPr>
      <w:r>
        <w:rPr>
          <w:rFonts w:ascii="Tahoma" w:hAnsi="Tahoma" w:cs="Tahoma"/>
          <w:sz w:val="20"/>
          <w:szCs w:val="20"/>
        </w:rPr>
        <w:t>- Đảm bảo độ an toàn của tài Sarbanes- Oxleyản</w:t>
      </w:r>
    </w:p>
    <w:p w:rsidR="005021FA" w:rsidRDefault="005021FA" w:rsidP="00A6039E">
      <w:pPr>
        <w:pStyle w:val="Heading2"/>
        <w:ind w:left="0" w:firstLine="720"/>
        <w:jc w:val="left"/>
        <w:rPr>
          <w:rFonts w:ascii="Tahoma" w:hAnsi="Tahoma" w:cs="Tahoma"/>
          <w:sz w:val="20"/>
          <w:szCs w:val="20"/>
        </w:rPr>
      </w:pPr>
      <w:r>
        <w:rPr>
          <w:rFonts w:ascii="Tahoma" w:hAnsi="Tahoma" w:cs="Tahoma"/>
          <w:sz w:val="20"/>
          <w:szCs w:val="20"/>
        </w:rPr>
        <w:t>- Tính chính xác của quy trình thông tin</w:t>
      </w:r>
    </w:p>
    <w:p w:rsidR="005021FA" w:rsidRDefault="005021FA" w:rsidP="00A6039E">
      <w:pPr>
        <w:pStyle w:val="Heading2"/>
        <w:ind w:left="0" w:firstLine="720"/>
        <w:jc w:val="left"/>
        <w:rPr>
          <w:rFonts w:ascii="Tahoma" w:hAnsi="Tahoma" w:cs="Tahoma"/>
          <w:sz w:val="20"/>
          <w:szCs w:val="20"/>
        </w:rPr>
      </w:pPr>
      <w:r>
        <w:rPr>
          <w:rFonts w:ascii="Tahoma" w:hAnsi="Tahoma" w:cs="Tahoma"/>
          <w:sz w:val="20"/>
          <w:szCs w:val="20"/>
        </w:rPr>
        <w:t>- Đảm bảo tuân thủ pháp luật và luật lệ của chính phủ.</w:t>
      </w:r>
    </w:p>
    <w:p w:rsidR="005021FA" w:rsidRDefault="005021FA" w:rsidP="00A6039E">
      <w:pPr>
        <w:pStyle w:val="Heading2"/>
        <w:ind w:left="0" w:firstLine="720"/>
        <w:jc w:val="left"/>
        <w:rPr>
          <w:rFonts w:ascii="Tahoma" w:hAnsi="Tahoma" w:cs="Tahoma"/>
          <w:sz w:val="20"/>
          <w:szCs w:val="20"/>
        </w:rPr>
      </w:pPr>
      <w:r>
        <w:rPr>
          <w:rFonts w:ascii="Tahoma" w:hAnsi="Tahoma" w:cs="Tahoma"/>
          <w:sz w:val="20"/>
          <w:szCs w:val="20"/>
        </w:rPr>
        <w:t>Sarbanes- Oxley yêu cầu các công ty phải duy trì hiệu quả của hệ thống kiểm soát nội bộ trong suốt quá trình ghi nhận các giao dịch và trình bày báo cáo tài chính. Như vậy hệ thống kiểm soát là quan trọng bởi vì nó giúp xác định những gian lận và ngăn ngừa sai sót của hệ thống báo cáo tài chính.</w:t>
      </w:r>
    </w:p>
    <w:p w:rsidR="00EE72EB" w:rsidRDefault="00EE72EB" w:rsidP="00A6039E">
      <w:pPr>
        <w:pStyle w:val="Heading2"/>
        <w:ind w:left="0" w:firstLine="720"/>
        <w:jc w:val="left"/>
        <w:rPr>
          <w:rFonts w:ascii="Tahoma" w:hAnsi="Tahoma" w:cs="Tahoma"/>
          <w:sz w:val="20"/>
          <w:szCs w:val="20"/>
        </w:rPr>
      </w:pPr>
      <w:r>
        <w:rPr>
          <w:rFonts w:ascii="Tahoma" w:hAnsi="Tahoma" w:cs="Tahoma"/>
          <w:sz w:val="20"/>
          <w:szCs w:val="20"/>
        </w:rPr>
        <w:t>Trước khi thông qua định luật Sarbanes- Oxley : Hệ thống kiểm soát nội bộ yếu, xảy ra gian lận và trộm cắp ở các doanh nghiệp, nhà đầu tư, chủ Sarbanes- Oxleyở hữu và chủ nợ rất đau đầu về các vấn đề trên.</w:t>
      </w:r>
    </w:p>
    <w:p w:rsidR="00EE72EB" w:rsidRDefault="00EE72EB" w:rsidP="00A6039E">
      <w:pPr>
        <w:pStyle w:val="Heading2"/>
        <w:ind w:left="0" w:firstLine="720"/>
        <w:jc w:val="left"/>
        <w:rPr>
          <w:rFonts w:ascii="Tahoma" w:hAnsi="Tahoma" w:cs="Tahoma"/>
          <w:sz w:val="20"/>
          <w:szCs w:val="20"/>
        </w:rPr>
      </w:pPr>
      <w:r>
        <w:rPr>
          <w:rFonts w:ascii="Tahoma" w:hAnsi="Tahoma" w:cs="Tahoma"/>
          <w:sz w:val="20"/>
          <w:szCs w:val="20"/>
        </w:rPr>
        <w:t>Sau đó, chính phủ ban hành đạo luật Sarbanes- Oxley thì sau đó</w:t>
      </w:r>
      <w:r w:rsidR="008E15DC">
        <w:rPr>
          <w:rFonts w:ascii="Tahoma" w:hAnsi="Tahoma" w:cs="Tahoma"/>
          <w:sz w:val="20"/>
          <w:szCs w:val="20"/>
        </w:rPr>
        <w:t xml:space="preserve"> hệ thống kiểm soát nội bộ của các công ty rất hiệu quả, gian lận và trộm cắp ít và nhà đầu tư, chủ sở hữu rất yên tâm.</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 xml:space="preserve">Đạo luật Sarbanes- Oxley cũng yêu cầu các công ty và các kế toán độc lập của họ phải báo cáo tài chính trên cơ Sarbanes- Oxleyở hiệu quả của hệ thống kiểm soát nội bộ. Những báo cáo này phải được trình bày hằng năm trên Ủy ban giao dịch chứng khoán. Các công ty cũng được khuyến cáo phải trình bài những báo cáo nay đến cổ đông. </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Đạo luật Sarbanes- Oxley bao gồm các nội dung:</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 xml:space="preserve">1. Kiểm soát nội bộ </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 Mục tiêu của kiểm suát nội bộ: là phải đảm bảo được:</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 Tài Sản được an toàn và dược sử dụng cho mục đích kinh doanh</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 Thông tin về tình hình của doanh nghiệp là chính xác</w:t>
      </w:r>
    </w:p>
    <w:p w:rsidR="00B02A64" w:rsidRDefault="00B02A64" w:rsidP="00A6039E">
      <w:pPr>
        <w:pStyle w:val="Heading2"/>
        <w:ind w:left="0" w:firstLine="720"/>
        <w:jc w:val="left"/>
        <w:rPr>
          <w:rFonts w:ascii="Tahoma" w:hAnsi="Tahoma" w:cs="Tahoma"/>
          <w:sz w:val="20"/>
          <w:szCs w:val="20"/>
        </w:rPr>
      </w:pPr>
      <w:r>
        <w:rPr>
          <w:rFonts w:ascii="Tahoma" w:hAnsi="Tahoma" w:cs="Tahoma"/>
          <w:sz w:val="20"/>
          <w:szCs w:val="20"/>
        </w:rPr>
        <w:t>- Người lao động, nhà quản lý</w:t>
      </w:r>
      <w:r w:rsidR="009674EF">
        <w:rPr>
          <w:rFonts w:ascii="Tahoma" w:hAnsi="Tahoma" w:cs="Tahoma"/>
          <w:sz w:val="20"/>
          <w:szCs w:val="20"/>
        </w:rPr>
        <w:t xml:space="preserve"> tuân thủ theo pháp luật và luật lệ của chính phủ.</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các yếu tổ của kiểm soát nội bộ:</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xml:space="preserve">Với 3 mục tiêu của kiểm soát nội bộ thì phải có 5 bộ phận cấu thành nên hệ thống kiểm soát nội bộ. Gồm: </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Môi trường kiểm soát</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Đánh giá rủi ro</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lastRenderedPageBreak/>
        <w:t>- Thủ tục kiểm soát</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Giám sát</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Thông tin và truyền thông</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 Môi trường kiểm soát:</w:t>
      </w:r>
    </w:p>
    <w:p w:rsidR="009674EF" w:rsidRDefault="009674EF" w:rsidP="00A6039E">
      <w:pPr>
        <w:pStyle w:val="Heading2"/>
        <w:ind w:left="0" w:firstLine="720"/>
        <w:jc w:val="left"/>
        <w:rPr>
          <w:rFonts w:ascii="Tahoma" w:hAnsi="Tahoma" w:cs="Tahoma"/>
          <w:sz w:val="20"/>
          <w:szCs w:val="20"/>
        </w:rPr>
      </w:pPr>
      <w:r>
        <w:rPr>
          <w:rFonts w:ascii="Tahoma" w:hAnsi="Tahoma" w:cs="Tahoma"/>
          <w:sz w:val="20"/>
          <w:szCs w:val="20"/>
        </w:rPr>
        <w:t>Môi trường kiểm soát là tất cả các thái độ của nhà quản lý và nhân viên về sự quan trọng của hệ thống kiểm soát nội bộ. Môi trường kiểm soát như là kích thước bao phủ của một cái dù, đánh giá rửi ro, thủ tục kiểm soát và giám sát là vải của cây dù, nó sẽ giữ cho cái dù không bì rỉ nước vào bên trong.</w:t>
      </w:r>
    </w:p>
    <w:p w:rsidR="00DD4DFA" w:rsidRDefault="00DD4DFA" w:rsidP="00A6039E">
      <w:pPr>
        <w:pStyle w:val="Heading2"/>
        <w:ind w:left="0" w:firstLine="720"/>
        <w:jc w:val="left"/>
        <w:rPr>
          <w:rFonts w:ascii="Tahoma" w:hAnsi="Tahoma" w:cs="Tahoma"/>
          <w:sz w:val="20"/>
          <w:szCs w:val="20"/>
        </w:rPr>
      </w:pPr>
      <w:r>
        <w:rPr>
          <w:rFonts w:ascii="Tahoma" w:hAnsi="Tahoma" w:cs="Tahoma"/>
          <w:sz w:val="20"/>
          <w:szCs w:val="20"/>
        </w:rPr>
        <w:t>* Ước tính rủi ro: Tất cả các rủi ro hiện hữu tại doanh nghiệp như thay đổi nhu cầu của khách hàng, đối thủ đe dọa cạnh tranh và thay đổi các điều kiện kinh tế. Nhà quản lý sẽ nhận biết các rủi ro phân tích ý nghĩa, đánh giá khả năng có thể phát sinh, đưa ra các hành động cần thiết để giảm thiểu rủi ro.</w:t>
      </w:r>
    </w:p>
    <w:p w:rsidR="00DD4DFA" w:rsidRDefault="00DD4DFA" w:rsidP="00A6039E">
      <w:pPr>
        <w:pStyle w:val="Heading2"/>
        <w:ind w:left="0" w:firstLine="720"/>
        <w:jc w:val="left"/>
        <w:rPr>
          <w:rFonts w:ascii="Tahoma" w:hAnsi="Tahoma" w:cs="Tahoma"/>
          <w:sz w:val="20"/>
          <w:szCs w:val="20"/>
        </w:rPr>
      </w:pPr>
      <w:r>
        <w:rPr>
          <w:rFonts w:ascii="Tahoma" w:hAnsi="Tahoma" w:cs="Tahoma"/>
          <w:sz w:val="20"/>
          <w:szCs w:val="20"/>
        </w:rPr>
        <w:t xml:space="preserve">* Thủ tục kiểm soát: Các thủ tục kiểm soát sẽ cung cấp những đảm bảo cần thiết để </w:t>
      </w:r>
      <w:r w:rsidR="004643CE">
        <w:rPr>
          <w:rFonts w:ascii="Tahoma" w:hAnsi="Tahoma" w:cs="Tahoma"/>
          <w:sz w:val="20"/>
          <w:szCs w:val="20"/>
        </w:rPr>
        <w:t>đạt được mục tiêu của doanh nghiệp bao gồm cả việc phòng ngừa gian lận. Các thủ tục kiểm soát bao gồm 1 trong số những yếu tố quan trọng trong hệ thống kiểm soát nội bộ:</w:t>
      </w:r>
    </w:p>
    <w:p w:rsidR="004643CE" w:rsidRDefault="004643CE" w:rsidP="00A6039E">
      <w:pPr>
        <w:pStyle w:val="Heading2"/>
        <w:ind w:left="0" w:firstLine="720"/>
        <w:jc w:val="left"/>
        <w:rPr>
          <w:rFonts w:ascii="Tahoma" w:hAnsi="Tahoma" w:cs="Tahoma"/>
          <w:sz w:val="20"/>
          <w:szCs w:val="20"/>
        </w:rPr>
      </w:pPr>
      <w:r>
        <w:rPr>
          <w:rFonts w:ascii="Tahoma" w:hAnsi="Tahoma" w:cs="Tahoma"/>
          <w:sz w:val="20"/>
          <w:szCs w:val="20"/>
        </w:rPr>
        <w:t>- Thẩm quyền của các cá nhân, chức năng, và những kỳ nghỉ bắt buộc</w:t>
      </w:r>
    </w:p>
    <w:p w:rsidR="004643CE" w:rsidRDefault="004643CE" w:rsidP="00A6039E">
      <w:pPr>
        <w:pStyle w:val="Heading2"/>
        <w:ind w:left="0" w:firstLine="720"/>
        <w:jc w:val="left"/>
        <w:rPr>
          <w:rFonts w:ascii="Tahoma" w:hAnsi="Tahoma" w:cs="Tahoma"/>
          <w:sz w:val="20"/>
          <w:szCs w:val="20"/>
        </w:rPr>
      </w:pPr>
      <w:r>
        <w:rPr>
          <w:rFonts w:ascii="Tahoma" w:hAnsi="Tahoma" w:cs="Tahoma"/>
          <w:sz w:val="20"/>
          <w:szCs w:val="20"/>
        </w:rPr>
        <w:t>- Phân chia trách nhiệm cho các hoạt động có liên quan</w:t>
      </w:r>
    </w:p>
    <w:p w:rsidR="00DD4DFA" w:rsidRDefault="004643CE" w:rsidP="00A6039E">
      <w:pPr>
        <w:pStyle w:val="Heading2"/>
        <w:ind w:left="0" w:firstLine="720"/>
        <w:jc w:val="left"/>
        <w:rPr>
          <w:rFonts w:ascii="Tahoma" w:hAnsi="Tahoma" w:cs="Tahoma"/>
          <w:sz w:val="20"/>
          <w:szCs w:val="20"/>
        </w:rPr>
      </w:pPr>
      <w:r>
        <w:rPr>
          <w:rFonts w:ascii="Tahoma" w:hAnsi="Tahoma" w:cs="Tahoma"/>
          <w:sz w:val="20"/>
          <w:szCs w:val="20"/>
        </w:rPr>
        <w:t>- Phân chia hoạt động, bảo quản tài sản và kế toán</w:t>
      </w:r>
    </w:p>
    <w:p w:rsidR="004643CE" w:rsidRDefault="004643CE" w:rsidP="00A6039E">
      <w:pPr>
        <w:pStyle w:val="Heading2"/>
        <w:ind w:left="0" w:firstLine="720"/>
        <w:jc w:val="left"/>
        <w:rPr>
          <w:rFonts w:ascii="Tahoma" w:hAnsi="Tahoma" w:cs="Tahoma"/>
          <w:sz w:val="20"/>
          <w:szCs w:val="20"/>
        </w:rPr>
      </w:pPr>
      <w:r>
        <w:rPr>
          <w:rFonts w:ascii="Tahoma" w:hAnsi="Tahoma" w:cs="Tahoma"/>
          <w:sz w:val="20"/>
          <w:szCs w:val="20"/>
        </w:rPr>
        <w:t>- Bằng chứng và chức năng bảo vệ.</w:t>
      </w:r>
    </w:p>
    <w:p w:rsidR="00952F28" w:rsidRDefault="0022077E" w:rsidP="00A6039E">
      <w:pPr>
        <w:pStyle w:val="Heading2"/>
        <w:ind w:left="0" w:firstLine="720"/>
        <w:jc w:val="left"/>
        <w:rPr>
          <w:rFonts w:ascii="Tahoma" w:hAnsi="Tahoma" w:cs="Tahoma"/>
          <w:sz w:val="20"/>
          <w:szCs w:val="20"/>
        </w:rPr>
      </w:pPr>
      <w:r>
        <w:rPr>
          <w:rFonts w:ascii="Tahoma" w:hAnsi="Tahoma" w:cs="Tahoma"/>
          <w:sz w:val="20"/>
          <w:szCs w:val="20"/>
        </w:rPr>
        <w:t xml:space="preserve">* Giám sát: Giám sát trong hệ thống kiểm soát nội bộ được sử dụng hạn chế những điểm yếu và đưa ra hoạt động cải tiến. Giám sát </w:t>
      </w:r>
      <w:r w:rsidR="003A4170">
        <w:rPr>
          <w:rFonts w:ascii="Tahoma" w:hAnsi="Tahoma" w:cs="Tahoma"/>
          <w:sz w:val="20"/>
          <w:szCs w:val="20"/>
        </w:rPr>
        <w:t>thường xuyên bao gồm hành vi của người lao động</w:t>
      </w:r>
      <w:r w:rsidR="00BB3012">
        <w:rPr>
          <w:rFonts w:ascii="Tahoma" w:hAnsi="Tahoma" w:cs="Tahoma"/>
          <w:sz w:val="20"/>
          <w:szCs w:val="20"/>
        </w:rPr>
        <w:t xml:space="preserve"> và hệ thống kế toán để tìm ra các vấn đề cần kiểm soát. </w:t>
      </w:r>
    </w:p>
    <w:p w:rsidR="00BB3012" w:rsidRDefault="00BB3012" w:rsidP="00A6039E">
      <w:pPr>
        <w:pStyle w:val="Heading2"/>
        <w:ind w:left="0" w:firstLine="720"/>
        <w:jc w:val="left"/>
        <w:rPr>
          <w:rFonts w:ascii="Tahoma" w:hAnsi="Tahoma" w:cs="Tahoma"/>
          <w:sz w:val="20"/>
          <w:szCs w:val="20"/>
        </w:rPr>
      </w:pPr>
      <w:r>
        <w:rPr>
          <w:rFonts w:ascii="Tahoma" w:hAnsi="Tahoma" w:cs="Tahoma"/>
          <w:sz w:val="20"/>
          <w:szCs w:val="20"/>
        </w:rPr>
        <w:t>* Hạn chế của hệ thống kiểm soát nội bộ:</w:t>
      </w:r>
    </w:p>
    <w:p w:rsidR="00BB3012" w:rsidRDefault="00BB3012" w:rsidP="00A6039E">
      <w:pPr>
        <w:pStyle w:val="Heading2"/>
        <w:ind w:left="0" w:firstLine="720"/>
        <w:jc w:val="left"/>
        <w:rPr>
          <w:rFonts w:ascii="Tahoma" w:hAnsi="Tahoma" w:cs="Tahoma"/>
          <w:sz w:val="20"/>
          <w:szCs w:val="20"/>
        </w:rPr>
      </w:pPr>
      <w:r>
        <w:rPr>
          <w:rFonts w:ascii="Tahoma" w:hAnsi="Tahoma" w:cs="Tahoma"/>
          <w:sz w:val="20"/>
          <w:szCs w:val="20"/>
        </w:rPr>
        <w:t>Hệ thống kiểm soát nội bộ có thể không đảm bảo cho việc để bảo vệ tài sản, cung cấp thông tin chính xác và tuân thủ pháp luật và luật lệ của chính phủ. Hay nói cách khác, hệ thống kiểm soát nội bộ</w:t>
      </w:r>
      <w:r w:rsidR="00D24B85">
        <w:rPr>
          <w:rFonts w:ascii="Tahoma" w:hAnsi="Tahoma" w:cs="Tahoma"/>
          <w:sz w:val="20"/>
          <w:szCs w:val="20"/>
        </w:rPr>
        <w:t xml:space="preserve"> không đảm bảo được những điều trên. Điều này là do các nahan tố sau:</w:t>
      </w:r>
    </w:p>
    <w:p w:rsidR="00D24B85" w:rsidRDefault="00D24B85" w:rsidP="00D24B85">
      <w:pPr>
        <w:pStyle w:val="Heading2"/>
        <w:numPr>
          <w:ilvl w:val="0"/>
          <w:numId w:val="2"/>
        </w:numPr>
        <w:jc w:val="left"/>
        <w:rPr>
          <w:rFonts w:ascii="Tahoma" w:hAnsi="Tahoma" w:cs="Tahoma"/>
          <w:sz w:val="20"/>
          <w:szCs w:val="20"/>
        </w:rPr>
      </w:pPr>
      <w:r>
        <w:rPr>
          <w:rFonts w:ascii="Tahoma" w:hAnsi="Tahoma" w:cs="Tahoma"/>
          <w:sz w:val="20"/>
          <w:szCs w:val="20"/>
        </w:rPr>
        <w:t>Các nhân tố kiểm soát con người</w:t>
      </w:r>
    </w:p>
    <w:p w:rsidR="00D24B85" w:rsidRDefault="00D24B85" w:rsidP="00D24B85">
      <w:pPr>
        <w:pStyle w:val="Heading2"/>
        <w:numPr>
          <w:ilvl w:val="0"/>
          <w:numId w:val="2"/>
        </w:numPr>
        <w:jc w:val="left"/>
        <w:rPr>
          <w:rFonts w:ascii="Tahoma" w:hAnsi="Tahoma" w:cs="Tahoma"/>
          <w:sz w:val="20"/>
          <w:szCs w:val="20"/>
        </w:rPr>
      </w:pPr>
      <w:r>
        <w:rPr>
          <w:rFonts w:ascii="Tahoma" w:hAnsi="Tahoma" w:cs="Tahoma"/>
          <w:sz w:val="20"/>
          <w:szCs w:val="20"/>
        </w:rPr>
        <w:t>Xem xét giữa chi phí và lợi ích.</w:t>
      </w:r>
    </w:p>
    <w:p w:rsidR="005021FA" w:rsidRDefault="005021FA" w:rsidP="00A6039E">
      <w:pPr>
        <w:pStyle w:val="Heading2"/>
        <w:ind w:left="0" w:firstLine="720"/>
        <w:jc w:val="left"/>
        <w:rPr>
          <w:rFonts w:ascii="Tahoma" w:hAnsi="Tahoma" w:cs="Tahoma"/>
          <w:sz w:val="20"/>
          <w:szCs w:val="20"/>
        </w:rPr>
      </w:pPr>
    </w:p>
    <w:p w:rsidR="00286A6F" w:rsidRDefault="00286A6F" w:rsidP="00A6039E">
      <w:pPr>
        <w:pStyle w:val="Heading2"/>
        <w:ind w:left="0" w:firstLine="720"/>
        <w:jc w:val="left"/>
        <w:rPr>
          <w:rFonts w:ascii="Tahoma" w:hAnsi="Tahoma" w:cs="Tahoma"/>
          <w:sz w:val="20"/>
          <w:szCs w:val="20"/>
        </w:rPr>
      </w:pPr>
    </w:p>
    <w:sectPr w:rsidR="00286A6F"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B563D7"/>
    <w:rsid w:val="000400D8"/>
    <w:rsid w:val="00080F96"/>
    <w:rsid w:val="00086F7A"/>
    <w:rsid w:val="00096BA4"/>
    <w:rsid w:val="000D5906"/>
    <w:rsid w:val="000D5AAA"/>
    <w:rsid w:val="000E7017"/>
    <w:rsid w:val="000F334F"/>
    <w:rsid w:val="000F3756"/>
    <w:rsid w:val="000F3A79"/>
    <w:rsid w:val="00103E86"/>
    <w:rsid w:val="001217DD"/>
    <w:rsid w:val="00141B84"/>
    <w:rsid w:val="00143D33"/>
    <w:rsid w:val="00162FBA"/>
    <w:rsid w:val="00163EA0"/>
    <w:rsid w:val="001749F7"/>
    <w:rsid w:val="00190137"/>
    <w:rsid w:val="0019429D"/>
    <w:rsid w:val="00195C76"/>
    <w:rsid w:val="001B143E"/>
    <w:rsid w:val="001D20F4"/>
    <w:rsid w:val="001D53AA"/>
    <w:rsid w:val="001E2084"/>
    <w:rsid w:val="001E3F82"/>
    <w:rsid w:val="001E5028"/>
    <w:rsid w:val="00203FBA"/>
    <w:rsid w:val="00205C01"/>
    <w:rsid w:val="0022077E"/>
    <w:rsid w:val="00256C19"/>
    <w:rsid w:val="00271379"/>
    <w:rsid w:val="00275AEE"/>
    <w:rsid w:val="00286A6F"/>
    <w:rsid w:val="002972E1"/>
    <w:rsid w:val="002B19C3"/>
    <w:rsid w:val="002B332F"/>
    <w:rsid w:val="002B5854"/>
    <w:rsid w:val="002C7C6E"/>
    <w:rsid w:val="002D7055"/>
    <w:rsid w:val="002E0022"/>
    <w:rsid w:val="002F27E5"/>
    <w:rsid w:val="00314443"/>
    <w:rsid w:val="00345AEA"/>
    <w:rsid w:val="0034750F"/>
    <w:rsid w:val="00351B57"/>
    <w:rsid w:val="00354F6E"/>
    <w:rsid w:val="00355E73"/>
    <w:rsid w:val="00361FE9"/>
    <w:rsid w:val="00376227"/>
    <w:rsid w:val="00377962"/>
    <w:rsid w:val="0038440E"/>
    <w:rsid w:val="003A39F9"/>
    <w:rsid w:val="003A4170"/>
    <w:rsid w:val="003A4A6F"/>
    <w:rsid w:val="003A7D18"/>
    <w:rsid w:val="003C2071"/>
    <w:rsid w:val="003D19A3"/>
    <w:rsid w:val="003D4C66"/>
    <w:rsid w:val="003D7973"/>
    <w:rsid w:val="004036A7"/>
    <w:rsid w:val="00411E25"/>
    <w:rsid w:val="004122E2"/>
    <w:rsid w:val="00421BED"/>
    <w:rsid w:val="004226E7"/>
    <w:rsid w:val="0042533D"/>
    <w:rsid w:val="00434245"/>
    <w:rsid w:val="00440535"/>
    <w:rsid w:val="00441C26"/>
    <w:rsid w:val="004475C3"/>
    <w:rsid w:val="00463770"/>
    <w:rsid w:val="00463E94"/>
    <w:rsid w:val="004643CE"/>
    <w:rsid w:val="00472382"/>
    <w:rsid w:val="00495A66"/>
    <w:rsid w:val="004B4930"/>
    <w:rsid w:val="004C29F7"/>
    <w:rsid w:val="004C482B"/>
    <w:rsid w:val="004C547B"/>
    <w:rsid w:val="004E672E"/>
    <w:rsid w:val="004F60D8"/>
    <w:rsid w:val="005021FA"/>
    <w:rsid w:val="005058B0"/>
    <w:rsid w:val="005322E5"/>
    <w:rsid w:val="005574A6"/>
    <w:rsid w:val="00585054"/>
    <w:rsid w:val="005A15CF"/>
    <w:rsid w:val="005A4D92"/>
    <w:rsid w:val="005A4FD7"/>
    <w:rsid w:val="005B1892"/>
    <w:rsid w:val="005C2BC3"/>
    <w:rsid w:val="005C4A2A"/>
    <w:rsid w:val="005C4F85"/>
    <w:rsid w:val="006015A6"/>
    <w:rsid w:val="00614B8E"/>
    <w:rsid w:val="00616B9C"/>
    <w:rsid w:val="006236AD"/>
    <w:rsid w:val="006319DE"/>
    <w:rsid w:val="00665BDF"/>
    <w:rsid w:val="00673820"/>
    <w:rsid w:val="0068316F"/>
    <w:rsid w:val="00692E3A"/>
    <w:rsid w:val="00694FA2"/>
    <w:rsid w:val="006A1C8A"/>
    <w:rsid w:val="006A6C43"/>
    <w:rsid w:val="006B060F"/>
    <w:rsid w:val="006D4428"/>
    <w:rsid w:val="006E0767"/>
    <w:rsid w:val="006E3AB8"/>
    <w:rsid w:val="006E43EC"/>
    <w:rsid w:val="00704D46"/>
    <w:rsid w:val="00752049"/>
    <w:rsid w:val="007819B9"/>
    <w:rsid w:val="007E5AAF"/>
    <w:rsid w:val="007F19C9"/>
    <w:rsid w:val="007F3B4A"/>
    <w:rsid w:val="007F7A79"/>
    <w:rsid w:val="007F7F89"/>
    <w:rsid w:val="00804D18"/>
    <w:rsid w:val="00806D12"/>
    <w:rsid w:val="008124DE"/>
    <w:rsid w:val="00812BDA"/>
    <w:rsid w:val="00855DF1"/>
    <w:rsid w:val="0086104C"/>
    <w:rsid w:val="00872C4B"/>
    <w:rsid w:val="0087540D"/>
    <w:rsid w:val="00877014"/>
    <w:rsid w:val="008A2217"/>
    <w:rsid w:val="008A281D"/>
    <w:rsid w:val="008A77DE"/>
    <w:rsid w:val="008B4147"/>
    <w:rsid w:val="008B6672"/>
    <w:rsid w:val="008C3AA9"/>
    <w:rsid w:val="008E15DC"/>
    <w:rsid w:val="008E1B42"/>
    <w:rsid w:val="008F3D81"/>
    <w:rsid w:val="009019B2"/>
    <w:rsid w:val="009026B9"/>
    <w:rsid w:val="00911A71"/>
    <w:rsid w:val="009166DA"/>
    <w:rsid w:val="009226A7"/>
    <w:rsid w:val="00952F28"/>
    <w:rsid w:val="00966952"/>
    <w:rsid w:val="009674EF"/>
    <w:rsid w:val="00983516"/>
    <w:rsid w:val="00986991"/>
    <w:rsid w:val="0099608E"/>
    <w:rsid w:val="00996600"/>
    <w:rsid w:val="009A08D5"/>
    <w:rsid w:val="009A410B"/>
    <w:rsid w:val="009E3ADD"/>
    <w:rsid w:val="00A061FF"/>
    <w:rsid w:val="00A068FD"/>
    <w:rsid w:val="00A10C99"/>
    <w:rsid w:val="00A42C5E"/>
    <w:rsid w:val="00A463A7"/>
    <w:rsid w:val="00A4660E"/>
    <w:rsid w:val="00A526FC"/>
    <w:rsid w:val="00A6039E"/>
    <w:rsid w:val="00A837F5"/>
    <w:rsid w:val="00A91615"/>
    <w:rsid w:val="00AA501C"/>
    <w:rsid w:val="00AA51DF"/>
    <w:rsid w:val="00AB1A20"/>
    <w:rsid w:val="00AB6D02"/>
    <w:rsid w:val="00AC52A7"/>
    <w:rsid w:val="00AD0760"/>
    <w:rsid w:val="00AD1711"/>
    <w:rsid w:val="00AD432A"/>
    <w:rsid w:val="00AF37BF"/>
    <w:rsid w:val="00B02A64"/>
    <w:rsid w:val="00B06F3B"/>
    <w:rsid w:val="00B07349"/>
    <w:rsid w:val="00B13B71"/>
    <w:rsid w:val="00B24FD5"/>
    <w:rsid w:val="00B4332F"/>
    <w:rsid w:val="00B45170"/>
    <w:rsid w:val="00B563D7"/>
    <w:rsid w:val="00B65989"/>
    <w:rsid w:val="00B736FA"/>
    <w:rsid w:val="00B76DAE"/>
    <w:rsid w:val="00B90EFD"/>
    <w:rsid w:val="00BB3012"/>
    <w:rsid w:val="00BB73A1"/>
    <w:rsid w:val="00BD30FA"/>
    <w:rsid w:val="00BE4EEB"/>
    <w:rsid w:val="00BF6436"/>
    <w:rsid w:val="00C053D1"/>
    <w:rsid w:val="00C07AC1"/>
    <w:rsid w:val="00C15752"/>
    <w:rsid w:val="00C25F41"/>
    <w:rsid w:val="00C53E12"/>
    <w:rsid w:val="00C6657A"/>
    <w:rsid w:val="00C91DF2"/>
    <w:rsid w:val="00CA4053"/>
    <w:rsid w:val="00CA6BD3"/>
    <w:rsid w:val="00CC0996"/>
    <w:rsid w:val="00CC3107"/>
    <w:rsid w:val="00CD21B4"/>
    <w:rsid w:val="00CD6925"/>
    <w:rsid w:val="00CD74AA"/>
    <w:rsid w:val="00CE41EF"/>
    <w:rsid w:val="00CE44FD"/>
    <w:rsid w:val="00CF76CB"/>
    <w:rsid w:val="00D1165F"/>
    <w:rsid w:val="00D17559"/>
    <w:rsid w:val="00D20A4D"/>
    <w:rsid w:val="00D24B85"/>
    <w:rsid w:val="00D413D7"/>
    <w:rsid w:val="00D73B58"/>
    <w:rsid w:val="00D90A89"/>
    <w:rsid w:val="00DA1F13"/>
    <w:rsid w:val="00DA280A"/>
    <w:rsid w:val="00DA5695"/>
    <w:rsid w:val="00DD4DFA"/>
    <w:rsid w:val="00DD4F73"/>
    <w:rsid w:val="00DD75A7"/>
    <w:rsid w:val="00DE1636"/>
    <w:rsid w:val="00DE578A"/>
    <w:rsid w:val="00DE7453"/>
    <w:rsid w:val="00DF197C"/>
    <w:rsid w:val="00DF705F"/>
    <w:rsid w:val="00E60D3A"/>
    <w:rsid w:val="00E61555"/>
    <w:rsid w:val="00E7631E"/>
    <w:rsid w:val="00E93935"/>
    <w:rsid w:val="00E95B35"/>
    <w:rsid w:val="00EB10FF"/>
    <w:rsid w:val="00EB5CD0"/>
    <w:rsid w:val="00EC0A9E"/>
    <w:rsid w:val="00EC2062"/>
    <w:rsid w:val="00EE47A7"/>
    <w:rsid w:val="00EE72EB"/>
    <w:rsid w:val="00EE7974"/>
    <w:rsid w:val="00EF2A53"/>
    <w:rsid w:val="00EF2E90"/>
    <w:rsid w:val="00EF5E3A"/>
    <w:rsid w:val="00F21F49"/>
    <w:rsid w:val="00F256A3"/>
    <w:rsid w:val="00F34A3A"/>
    <w:rsid w:val="00F4415F"/>
    <w:rsid w:val="00F710F9"/>
    <w:rsid w:val="00F71206"/>
    <w:rsid w:val="00FA43C6"/>
    <w:rsid w:val="00FD2AA4"/>
    <w:rsid w:val="00FE7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11</cp:revision>
  <dcterms:created xsi:type="dcterms:W3CDTF">2018-05-18T10:02:00Z</dcterms:created>
  <dcterms:modified xsi:type="dcterms:W3CDTF">2018-05-18T13:25:00Z</dcterms:modified>
</cp:coreProperties>
</file>