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911A71" w:rsidRDefault="00DE7453" w:rsidP="00354F6E">
      <w:pPr>
        <w:pStyle w:val="Heading2"/>
      </w:pPr>
      <w:r w:rsidRPr="00911A71">
        <w:t>NHỮNG</w:t>
      </w:r>
      <w:r w:rsidR="004122E2" w:rsidRPr="00911A71">
        <w:t xml:space="preserve"> THAY ĐỔI VỀ CHẾ ĐỘ KẾ TOÁN, THUẾ THEO HỆ THỐNG VĂN BẢN MỚI</w:t>
      </w:r>
      <w:r w:rsidR="00F4415F">
        <w:t xml:space="preserve"> CẬP NHẬT ĐẾN THÁNG 3-2017</w:t>
      </w:r>
    </w:p>
    <w:p w:rsidR="00FA43C6" w:rsidRPr="00911A71" w:rsidRDefault="00FA43C6" w:rsidP="00354F6E">
      <w:pPr>
        <w:pStyle w:val="Heading2"/>
      </w:pPr>
    </w:p>
    <w:p w:rsidR="00B563D7" w:rsidRPr="00911A71" w:rsidRDefault="00FA43C6" w:rsidP="00354F6E">
      <w:pPr>
        <w:pStyle w:val="Heading2"/>
      </w:pPr>
      <w:r w:rsidRPr="00911A71">
        <w:t xml:space="preserve">                                                                  </w:t>
      </w:r>
      <w:r w:rsidR="00B563D7" w:rsidRPr="00911A71">
        <w:t>Giảng viên: Nguyễn Thị Kim Hương</w:t>
      </w:r>
    </w:p>
    <w:p w:rsidR="001E2084" w:rsidRPr="00F4415F" w:rsidRDefault="004122E2" w:rsidP="00F4415F">
      <w:pPr>
        <w:pStyle w:val="Heading3"/>
        <w:rPr>
          <w:b/>
          <w:iCs/>
        </w:rPr>
      </w:pPr>
      <w:proofErr w:type="gramStart"/>
      <w:r w:rsidRPr="00911A71">
        <w:t>Kế toán, thuế là những lĩnh vực luôn luôn có sự thay đổi trong chế độ ghi chép và trích nộp.</w:t>
      </w:r>
      <w:proofErr w:type="gramEnd"/>
      <w:r w:rsidRPr="00911A71">
        <w:t xml:space="preserve"> </w:t>
      </w:r>
      <w:proofErr w:type="gramStart"/>
      <w:r w:rsidRPr="00911A71">
        <w:t xml:space="preserve">Để tránh những lỗi thời </w:t>
      </w:r>
      <w:r w:rsidR="00614B8E">
        <w:t xml:space="preserve">trong công tác kế toán và thuế </w:t>
      </w:r>
      <w:r w:rsidRPr="00911A71">
        <w:t xml:space="preserve">ở các doanh nghiệp cần cập nhật những thay đổi </w:t>
      </w:r>
      <w:r w:rsidR="00F4415F">
        <w:t>tính đến tháng 3</w:t>
      </w:r>
      <w:r w:rsidR="001E2084">
        <w:t xml:space="preserve"> năm 2017</w:t>
      </w:r>
      <w:r w:rsidRPr="00911A71">
        <w:t>.</w:t>
      </w:r>
      <w:proofErr w:type="gramEnd"/>
      <w:r w:rsidRPr="00911A71">
        <w:t xml:space="preserve"> </w:t>
      </w:r>
      <w:r w:rsidR="00614B8E" w:rsidRPr="001E2084">
        <w:rPr>
          <w:iCs/>
        </w:rPr>
        <w:t xml:space="preserve">Trong </w:t>
      </w:r>
      <w:r w:rsidR="00F4415F">
        <w:rPr>
          <w:iCs/>
        </w:rPr>
        <w:t>kỳ</w:t>
      </w:r>
      <w:r w:rsidR="00614B8E" w:rsidRPr="001E2084">
        <w:rPr>
          <w:iCs/>
        </w:rPr>
        <w:t xml:space="preserve"> </w:t>
      </w:r>
      <w:r w:rsidR="001E2084" w:rsidRPr="001E2084">
        <w:rPr>
          <w:iCs/>
        </w:rPr>
        <w:t xml:space="preserve">này, </w:t>
      </w:r>
      <w:r w:rsidR="00F4415F">
        <w:rPr>
          <w:iCs/>
        </w:rPr>
        <w:t xml:space="preserve">văn bản quan trọng nhất là </w:t>
      </w:r>
      <w:r w:rsidR="00F4415F" w:rsidRPr="00F4415F">
        <w:rPr>
          <w:iCs/>
        </w:rPr>
        <w:t>công văn </w:t>
      </w:r>
      <w:r w:rsidR="00F4415F" w:rsidRPr="00F4415F">
        <w:rPr>
          <w:b/>
          <w:iCs/>
        </w:rPr>
        <w:t>327/TCT-DNL</w:t>
      </w:r>
      <w:r w:rsidR="00F4415F" w:rsidRPr="00F4415F">
        <w:rPr>
          <w:iCs/>
        </w:rPr>
        <w:t> ngày 24/01/2017 của Tổng cục Thuế hướng dẫn </w:t>
      </w:r>
      <w:r w:rsidR="00F4415F" w:rsidRPr="00F4415F">
        <w:rPr>
          <w:b/>
          <w:iCs/>
        </w:rPr>
        <w:t>"</w:t>
      </w:r>
      <w:r w:rsidR="00F4415F" w:rsidRPr="00DD75A7">
        <w:rPr>
          <w:iCs/>
        </w:rPr>
        <w:t>Doanh nghiệp có số lỗ tự xác định khác với số lỗ do cơ quan có thẩm quyền kiểm tra, thanh tra quyết toán thuế TNDN xác định thì số lỗ được chuyển xác định theo kết luận của cơ quan kiểm tra, thanh tra nhưng đảm bảo chuyển lỗ toàn bộ và liên tục không quá 5 năm, kể từ năm tiếp sau năm phát sinh lỗ theo quy định."</w:t>
      </w:r>
      <w:r w:rsidR="00DD75A7" w:rsidRPr="00DD75A7">
        <w:rPr>
          <w:iCs/>
        </w:rPr>
        <w:t xml:space="preserve"> </w:t>
      </w:r>
      <w:proofErr w:type="gramStart"/>
      <w:r w:rsidR="00DD75A7" w:rsidRPr="00DD75A7">
        <w:rPr>
          <w:iCs/>
        </w:rPr>
        <w:t>Và QUYẾT TOÁN THUẾ THU NHẬP DOANH NGHIỆP VÀ THUẾ THU NHẬP CÁ NHÂN NĂM 2016".</w:t>
      </w:r>
      <w:proofErr w:type="gramEnd"/>
      <w:r w:rsidR="00DD75A7" w:rsidRPr="00DD75A7">
        <w:rPr>
          <w:iCs/>
        </w:rPr>
        <w:t xml:space="preserve"> Ngày 24/6/2015, Tổng cục Thuế đã ban hành công văn số 2512 /TCT – CS gửi Cục thuế các tỉnh, thành phố trực thuộc Trung ương giới thiệu nội dung mới của Thông tư số 96/2015/TT-BTC ngày 22/6/2015 của Bộ Tài chính. </w:t>
      </w:r>
      <w:proofErr w:type="gramStart"/>
      <w:r w:rsidR="00DD75A7" w:rsidRPr="00DD75A7">
        <w:rPr>
          <w:iCs/>
        </w:rPr>
        <w:t>Thông tư số 96/2015/TT-BTC có hiệu lực thi hành từ ngày 6/8/2015 và áp dụng cho kỳ tính thuế TNDN từ năm 2015 trở đi.</w:t>
      </w:r>
      <w:proofErr w:type="gramEnd"/>
      <w:r w:rsidR="00DD75A7" w:rsidRPr="00DD75A7">
        <w:rPr>
          <w:iCs/>
        </w:rPr>
        <w:t xml:space="preserve"> Trong năm 2016, về cơ bản Chính phủ và Bộ Tài chính không ban hành văn bản pháp quy mới sửa đổi, bổ sung về thuế TNDN. Vì vậy, các chính sách và quy định được </w:t>
      </w:r>
      <w:proofErr w:type="gramStart"/>
      <w:r w:rsidR="00DD75A7" w:rsidRPr="00DD75A7">
        <w:rPr>
          <w:iCs/>
        </w:rPr>
        <w:t>tiếp</w:t>
      </w:r>
      <w:r w:rsidR="00B4332F">
        <w:rPr>
          <w:iCs/>
        </w:rPr>
        <w:t xml:space="preserve"> </w:t>
      </w:r>
      <w:r w:rsidR="00DD75A7" w:rsidRPr="00DD75A7">
        <w:rPr>
          <w:iCs/>
        </w:rPr>
        <w:t xml:space="preserve"> tục</w:t>
      </w:r>
      <w:proofErr w:type="gramEnd"/>
      <w:r w:rsidR="00DD75A7" w:rsidRPr="00DD75A7">
        <w:rPr>
          <w:iCs/>
        </w:rPr>
        <w:t xml:space="preserve"> thực hiện khi quyết toán thuế TNDN cho kỳ tính thuế 2016.</w:t>
      </w:r>
      <w:r w:rsidR="00B4332F">
        <w:rPr>
          <w:iCs/>
        </w:rPr>
        <w:t xml:space="preserve"> </w:t>
      </w:r>
      <w:r w:rsidR="00DD75A7" w:rsidRPr="00DD75A7">
        <w:rPr>
          <w:iCs/>
        </w:rPr>
        <w:br/>
      </w:r>
      <w:r w:rsidR="00DD75A7" w:rsidRPr="00DD75A7">
        <w:rPr>
          <w:iCs/>
        </w:rPr>
        <w:br/>
      </w:r>
      <w:r w:rsidR="00B4332F">
        <w:rPr>
          <w:iCs/>
        </w:rPr>
        <w:t xml:space="preserve">       </w:t>
      </w:r>
      <w:r w:rsidR="00DD75A7" w:rsidRPr="00DD75A7">
        <w:rPr>
          <w:iCs/>
        </w:rPr>
        <w:t>Văn bản hướng dẫn quan trọng trong kỳ này là tại công văn 473/TCT-CS ngày 15/02/2017 của Tổng cục Thuế hướng dẫn "Doanh nghiệp bỏ địa chỉ kinh doanh đã đăng ký với cơ quan thuế và mang theo hóa đơn GTGT đã đăng ký đặt in nhưng đã không sử dụng, nếu hành vi vi phạm về hóa đơn của doanh nghiệp còn thời hiệu xử phạt thì doanh nghiệp có thể chịu mức tiền phạt tối đa 100.000.000 đồng".</w:t>
      </w:r>
    </w:p>
    <w:tbl>
      <w:tblPr>
        <w:tblW w:w="5000" w:type="pct"/>
        <w:tblCellSpacing w:w="0" w:type="dxa"/>
        <w:shd w:val="clear" w:color="auto" w:fill="FFFFFF"/>
        <w:tblCellMar>
          <w:left w:w="0" w:type="dxa"/>
          <w:right w:w="0" w:type="dxa"/>
        </w:tblCellMar>
        <w:tblLook w:val="04A0"/>
      </w:tblPr>
      <w:tblGrid>
        <w:gridCol w:w="9360"/>
      </w:tblGrid>
      <w:tr w:rsidR="00AA501C" w:rsidRPr="00AA501C" w:rsidTr="00AA501C">
        <w:trPr>
          <w:tblCellSpacing w:w="0" w:type="dxa"/>
        </w:trPr>
        <w:tc>
          <w:tcPr>
            <w:tcW w:w="5000" w:type="pct"/>
            <w:shd w:val="clear" w:color="auto" w:fill="FFFFFF"/>
            <w:hideMark/>
          </w:tcPr>
          <w:p w:rsidR="00AA501C" w:rsidRPr="00AA501C" w:rsidRDefault="00B4332F" w:rsidP="00B4332F">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bCs/>
                <w:sz w:val="26"/>
                <w:szCs w:val="26"/>
              </w:rPr>
              <w:t xml:space="preserve">      </w:t>
            </w:r>
            <w:r w:rsidR="001E2084" w:rsidRPr="00103E86">
              <w:rPr>
                <w:rFonts w:ascii="Times New Roman" w:eastAsia="Times New Roman" w:hAnsi="Times New Roman" w:cs="Times New Roman"/>
                <w:bCs/>
                <w:sz w:val="26"/>
                <w:szCs w:val="26"/>
              </w:rPr>
              <w:t>Những thông tin mới liên quan đến các chính sách thuế bao gồm:</w:t>
            </w:r>
            <w:hyperlink r:id="rId5" w:tgtFrame="_blank" w:history="1">
              <w:r w:rsidR="00AA501C" w:rsidRPr="00AA501C">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 xml:space="preserve">       </w:t>
              </w:r>
              <w:r w:rsidR="00AA501C" w:rsidRPr="00B4332F">
                <w:rPr>
                  <w:rFonts w:ascii="Times New Roman" w:eastAsia="Times New Roman" w:hAnsi="Times New Roman" w:cs="Times New Roman"/>
                  <w:bCs/>
                  <w:sz w:val="24"/>
                  <w:szCs w:val="24"/>
                </w:rPr>
                <w:t>Ngày 10/02/2017 và ngày 17/02/2017 là 2 đợt cập nhật các văn bản mới - văn bản hướng dẫn trong lĩnh vực Thuế trên ứng dụng VBPL.</w:t>
              </w:r>
            </w:hyperlink>
            <w:r>
              <w:rPr>
                <w:rFonts w:ascii="Times New Roman" w:eastAsia="Times New Roman" w:hAnsi="Times New Roman" w:cs="Times New Roman"/>
                <w:sz w:val="24"/>
                <w:szCs w:val="24"/>
              </w:rPr>
              <w:t xml:space="preserve"> </w:t>
            </w:r>
            <w:r w:rsidR="00AA501C" w:rsidRPr="00AA501C">
              <w:rPr>
                <w:rFonts w:ascii="Times New Roman" w:eastAsia="Times New Roman" w:hAnsi="Times New Roman" w:cs="Times New Roman"/>
                <w:sz w:val="24"/>
                <w:szCs w:val="24"/>
              </w:rPr>
              <w:t>Trong 02 đợt cập nhật này, có 25  văn bản hướng dẫn</w:t>
            </w:r>
          </w:p>
        </w:tc>
      </w:tr>
      <w:tr w:rsidR="00AA501C" w:rsidRPr="00AA501C" w:rsidTr="00AA501C">
        <w:trPr>
          <w:tblCellSpacing w:w="0" w:type="dxa"/>
        </w:trPr>
        <w:tc>
          <w:tcPr>
            <w:tcW w:w="5000" w:type="pct"/>
            <w:shd w:val="clear" w:color="auto" w:fill="FFFFFF"/>
            <w:hideMark/>
          </w:tcPr>
          <w:p w:rsidR="00AA501C" w:rsidRPr="00AA501C" w:rsidRDefault="00AA501C" w:rsidP="00B4332F">
            <w:pPr>
              <w:spacing w:after="0" w:line="300" w:lineRule="atLeast"/>
              <w:rPr>
                <w:rFonts w:ascii="Times New Roman" w:eastAsia="Times New Roman" w:hAnsi="Times New Roman" w:cs="Times New Roman"/>
                <w:sz w:val="24"/>
                <w:szCs w:val="24"/>
              </w:rPr>
            </w:pPr>
            <w:hyperlink r:id="rId6" w:tgtFrame="_blank" w:history="1">
              <w:r w:rsidRPr="00AA501C">
                <w:rPr>
                  <w:rFonts w:ascii="Times New Roman" w:eastAsia="Times New Roman" w:hAnsi="Times New Roman" w:cs="Times New Roman"/>
                  <w:bCs/>
                  <w:sz w:val="24"/>
                  <w:szCs w:val="24"/>
                </w:rPr>
                <w:br/>
              </w:r>
              <w:r w:rsidR="00B4332F">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Tiền sử dụng đất, tiền thuê đất phải nộp cho Nhà nước được phép trừ đi số tiền mà tổ chức, cá nhân đã ứng trước để thực hiện việc bồi thường, hỗ trợ giải phóng mặt bằng; mức được trừ không vượt quá số tiền sử dụng đất, tiền thuê đất phải nộp.</w:t>
              </w:r>
            </w:hyperlink>
            <w:r w:rsidR="00B4332F">
              <w:rPr>
                <w:rFonts w:ascii="Times New Roman" w:eastAsia="Times New Roman" w:hAnsi="Times New Roman" w:cs="Times New Roman"/>
                <w:sz w:val="24"/>
                <w:szCs w:val="24"/>
              </w:rPr>
              <w:t xml:space="preserve"> </w:t>
            </w:r>
            <w:r w:rsidRPr="00AA501C">
              <w:rPr>
                <w:rFonts w:ascii="Times New Roman" w:eastAsia="Times New Roman" w:hAnsi="Times New Roman" w:cs="Times New Roman"/>
                <w:sz w:val="24"/>
                <w:szCs w:val="24"/>
              </w:rPr>
              <w:t>Trích công văn 146/TCT-CS ngày 12/01/2017 của Tổng cục Thuế.</w:t>
            </w:r>
          </w:p>
        </w:tc>
      </w:tr>
      <w:tr w:rsidR="00AA501C" w:rsidRPr="00AA501C" w:rsidTr="00AA501C">
        <w:trPr>
          <w:tblCellSpacing w:w="0" w:type="dxa"/>
        </w:trPr>
        <w:tc>
          <w:tcPr>
            <w:tcW w:w="5000" w:type="pct"/>
            <w:shd w:val="clear" w:color="auto" w:fill="FFFFFF"/>
            <w:hideMark/>
          </w:tcPr>
          <w:p w:rsidR="00AA501C" w:rsidRPr="00AA501C" w:rsidRDefault="00AA501C" w:rsidP="00B4332F">
            <w:pPr>
              <w:spacing w:after="0" w:line="300" w:lineRule="atLeast"/>
              <w:rPr>
                <w:rFonts w:ascii="Times New Roman" w:eastAsia="Times New Roman" w:hAnsi="Times New Roman" w:cs="Times New Roman"/>
                <w:sz w:val="24"/>
                <w:szCs w:val="24"/>
              </w:rPr>
            </w:pPr>
            <w:hyperlink r:id="rId7" w:tgtFrame="_blank" w:history="1">
              <w:r w:rsidRPr="00AA501C">
                <w:rPr>
                  <w:rFonts w:ascii="Times New Roman" w:eastAsia="Times New Roman" w:hAnsi="Times New Roman" w:cs="Times New Roman"/>
                  <w:bCs/>
                  <w:sz w:val="24"/>
                  <w:szCs w:val="24"/>
                </w:rPr>
                <w:br/>
              </w:r>
              <w:r w:rsidR="00B4332F">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Tại thời điểm nộp hồ sơ khai lệ phí trước bạ, giá chuyển nhượng thực tế ô tô, xe máy trên thị trường tăng nhưng chưa đến 20% so với giá tính lệ phí trước bạ do Bộ Tài chính ban hành thì giá tính lệ phí trước bạ là giá theo Bảng giá hiện hành đang áp dụng do Bộ Tài chính ban hành.</w:t>
              </w:r>
            </w:hyperlink>
            <w:r w:rsidR="00B4332F">
              <w:rPr>
                <w:rFonts w:ascii="Times New Roman" w:eastAsia="Times New Roman" w:hAnsi="Times New Roman" w:cs="Times New Roman"/>
                <w:sz w:val="24"/>
                <w:szCs w:val="24"/>
              </w:rPr>
              <w:t xml:space="preserve"> </w:t>
            </w:r>
            <w:r w:rsidRPr="00AA501C">
              <w:rPr>
                <w:rFonts w:ascii="Times New Roman" w:eastAsia="Times New Roman" w:hAnsi="Times New Roman" w:cs="Times New Roman"/>
                <w:sz w:val="24"/>
                <w:szCs w:val="24"/>
              </w:rPr>
              <w:t>Trích công văn 397/TCT-TNCN ngày 09/02/2017 của Tổng cục Thuế.</w:t>
            </w:r>
          </w:p>
        </w:tc>
      </w:tr>
      <w:tr w:rsidR="00AA501C" w:rsidRPr="00AA501C" w:rsidTr="00AA501C">
        <w:trPr>
          <w:tblCellSpacing w:w="0" w:type="dxa"/>
        </w:trPr>
        <w:tc>
          <w:tcPr>
            <w:tcW w:w="5000" w:type="pct"/>
            <w:shd w:val="clear" w:color="auto" w:fill="FFFFFF"/>
            <w:hideMark/>
          </w:tcPr>
          <w:p w:rsidR="00AA501C" w:rsidRPr="00AA501C" w:rsidRDefault="00AA501C" w:rsidP="00B4332F">
            <w:pPr>
              <w:spacing w:after="0" w:line="300" w:lineRule="atLeast"/>
              <w:rPr>
                <w:rFonts w:ascii="Times New Roman" w:eastAsia="Times New Roman" w:hAnsi="Times New Roman" w:cs="Times New Roman"/>
                <w:sz w:val="24"/>
                <w:szCs w:val="24"/>
              </w:rPr>
            </w:pPr>
            <w:hyperlink r:id="rId8" w:tgtFrame="_blank" w:history="1">
              <w:r w:rsidRPr="00AA501C">
                <w:rPr>
                  <w:rFonts w:ascii="Times New Roman" w:eastAsia="Times New Roman" w:hAnsi="Times New Roman" w:cs="Times New Roman"/>
                  <w:bCs/>
                  <w:sz w:val="24"/>
                  <w:szCs w:val="24"/>
                </w:rPr>
                <w:br/>
              </w:r>
              <w:r w:rsidR="00B4332F">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 xml:space="preserve">Doanh nghiệp có số lỗ tự xác định khác với số lỗ do cơ quan có thẩm quyền kiểm tra, thanh </w:t>
              </w:r>
              <w:r w:rsidRPr="00B4332F">
                <w:rPr>
                  <w:rFonts w:ascii="Times New Roman" w:eastAsia="Times New Roman" w:hAnsi="Times New Roman" w:cs="Times New Roman"/>
                  <w:bCs/>
                  <w:sz w:val="24"/>
                  <w:szCs w:val="24"/>
                </w:rPr>
                <w:lastRenderedPageBreak/>
                <w:t>tra quyết toán thuế TNDN xác định thì số lỗ được chuyển xác định theo kết luận của cơ quan kiểm tra, thanh tra nhưng đảm bảo chuyển lỗ toàn bộ và liên tục không quá 5 năm, kể từ năm tiếp sau năm phát sinh lỗ theo quy định.</w:t>
              </w:r>
            </w:hyperlink>
            <w:r w:rsidR="00B4332F">
              <w:rPr>
                <w:rFonts w:ascii="Times New Roman" w:eastAsia="Times New Roman" w:hAnsi="Times New Roman" w:cs="Times New Roman"/>
                <w:sz w:val="24"/>
                <w:szCs w:val="24"/>
              </w:rPr>
              <w:t xml:space="preserve"> </w:t>
            </w:r>
            <w:r w:rsidRPr="00AA501C">
              <w:rPr>
                <w:rFonts w:ascii="Times New Roman" w:eastAsia="Times New Roman" w:hAnsi="Times New Roman" w:cs="Times New Roman"/>
                <w:sz w:val="24"/>
                <w:szCs w:val="24"/>
              </w:rPr>
              <w:t>Trích công văn 327/TCT-DNL ngày 24/01/2017 của Tổng cục Thuế</w:t>
            </w:r>
            <w:r w:rsidR="00B4332F">
              <w:rPr>
                <w:rFonts w:ascii="Times New Roman" w:eastAsia="Times New Roman" w:hAnsi="Times New Roman" w:cs="Times New Roman"/>
                <w:sz w:val="24"/>
                <w:szCs w:val="24"/>
              </w:rPr>
              <w:t>.</w:t>
            </w:r>
          </w:p>
        </w:tc>
      </w:tr>
      <w:tr w:rsidR="00AA501C" w:rsidRPr="00AA501C" w:rsidTr="00AA501C">
        <w:trPr>
          <w:tblCellSpacing w:w="0" w:type="dxa"/>
        </w:trPr>
        <w:tc>
          <w:tcPr>
            <w:tcW w:w="5000" w:type="pct"/>
            <w:shd w:val="clear" w:color="auto" w:fill="FFFFFF"/>
            <w:hideMark/>
          </w:tcPr>
          <w:tbl>
            <w:tblPr>
              <w:tblW w:w="5000" w:type="pct"/>
              <w:tblCellSpacing w:w="0" w:type="dxa"/>
              <w:shd w:val="clear" w:color="auto" w:fill="FFFFFF"/>
              <w:tblCellMar>
                <w:left w:w="0" w:type="dxa"/>
                <w:right w:w="0" w:type="dxa"/>
              </w:tblCellMar>
              <w:tblLook w:val="04A0"/>
            </w:tblPr>
            <w:tblGrid>
              <w:gridCol w:w="9360"/>
            </w:tblGrid>
            <w:tr w:rsidR="005C4F85" w:rsidRPr="005C4F85" w:rsidTr="005C4F85">
              <w:trPr>
                <w:tblCellSpacing w:w="0" w:type="dxa"/>
              </w:trPr>
              <w:tc>
                <w:tcPr>
                  <w:tcW w:w="4850" w:type="pct"/>
                  <w:shd w:val="clear" w:color="auto" w:fill="FFFFFF"/>
                  <w:hideMark/>
                </w:tcPr>
                <w:p w:rsidR="005C4F85" w:rsidRPr="005C4F85" w:rsidRDefault="005C4F85" w:rsidP="00B4332F">
                  <w:pPr>
                    <w:spacing w:after="0" w:line="300" w:lineRule="atLeast"/>
                    <w:rPr>
                      <w:rFonts w:ascii="Times New Roman" w:eastAsia="Times New Roman" w:hAnsi="Times New Roman" w:cs="Times New Roman"/>
                      <w:sz w:val="24"/>
                      <w:szCs w:val="24"/>
                    </w:rPr>
                  </w:pPr>
                  <w:hyperlink r:id="rId9" w:tgtFrame="_blank" w:history="1">
                    <w:r w:rsidRPr="005C4F85">
                      <w:rPr>
                        <w:rFonts w:ascii="Times New Roman" w:eastAsia="Times New Roman" w:hAnsi="Times New Roman" w:cs="Times New Roman"/>
                        <w:bCs/>
                        <w:sz w:val="24"/>
                        <w:szCs w:val="24"/>
                      </w:rPr>
                      <w:br/>
                    </w:r>
                    <w:r w:rsidR="00B4332F">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Ngày 24/02/2017 và ngày 03/03/2017 là 2 đợt cập nhật các văn bản mới - văn bản hướng dẫn trong lĩnh vực Thuế trên ứng dụng VBPL.</w:t>
                    </w:r>
                  </w:hyperlink>
                  <w:r w:rsidR="00B4332F">
                    <w:rPr>
                      <w:rFonts w:ascii="Times New Roman" w:eastAsia="Times New Roman" w:hAnsi="Times New Roman" w:cs="Times New Roman"/>
                      <w:sz w:val="24"/>
                      <w:szCs w:val="24"/>
                    </w:rPr>
                    <w:t xml:space="preserve"> </w:t>
                  </w:r>
                  <w:r w:rsidRPr="005C4F85">
                    <w:rPr>
                      <w:rFonts w:ascii="Times New Roman" w:eastAsia="Times New Roman" w:hAnsi="Times New Roman" w:cs="Times New Roman"/>
                      <w:sz w:val="24"/>
                      <w:szCs w:val="24"/>
                    </w:rPr>
                    <w:t>Trong 02 đợt cập nhật này, có 14 văn bản hướng dẫn</w:t>
                  </w:r>
                </w:p>
              </w:tc>
            </w:tr>
            <w:tr w:rsidR="005C4F85" w:rsidRPr="005C4F85" w:rsidTr="005C4F85">
              <w:trPr>
                <w:tblCellSpacing w:w="0" w:type="dxa"/>
              </w:trPr>
              <w:tc>
                <w:tcPr>
                  <w:tcW w:w="5000" w:type="pct"/>
                  <w:shd w:val="clear" w:color="auto" w:fill="FFFFFF"/>
                  <w:hideMark/>
                </w:tcPr>
                <w:p w:rsidR="005C4F85" w:rsidRPr="005C4F85" w:rsidRDefault="005C4F85" w:rsidP="00B4332F">
                  <w:pPr>
                    <w:spacing w:after="0" w:line="300" w:lineRule="atLeast"/>
                    <w:rPr>
                      <w:rFonts w:ascii="Times New Roman" w:eastAsia="Times New Roman" w:hAnsi="Times New Roman" w:cs="Times New Roman"/>
                      <w:sz w:val="24"/>
                      <w:szCs w:val="24"/>
                    </w:rPr>
                  </w:pPr>
                  <w:hyperlink r:id="rId10" w:tgtFrame="_blank" w:history="1">
                    <w:r w:rsidRPr="005C4F85">
                      <w:rPr>
                        <w:rFonts w:ascii="Times New Roman" w:eastAsia="Times New Roman" w:hAnsi="Times New Roman" w:cs="Times New Roman"/>
                        <w:bCs/>
                        <w:sz w:val="24"/>
                        <w:szCs w:val="24"/>
                      </w:rPr>
                      <w:br/>
                    </w:r>
                    <w:r w:rsidR="00B4332F">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Khi xác định thu nhập chịu thuế TNDN trong kỳ, tổng chi phí lãi vay phát sinh trong kỳ của người nộp thuế chỉ được trừ không quá 20% tổng lợi nhuận thuần từ hoạt động kinh doanh cộng với chi phí lãi vay, chi phí khấu hao.</w:t>
                    </w:r>
                  </w:hyperlink>
                  <w:r w:rsidR="00B4332F">
                    <w:rPr>
                      <w:rFonts w:ascii="Times New Roman" w:eastAsia="Times New Roman" w:hAnsi="Times New Roman" w:cs="Times New Roman"/>
                      <w:sz w:val="24"/>
                      <w:szCs w:val="24"/>
                    </w:rPr>
                    <w:t xml:space="preserve"> </w:t>
                  </w:r>
                  <w:r w:rsidRPr="005C4F85">
                    <w:rPr>
                      <w:rFonts w:ascii="Times New Roman" w:eastAsia="Times New Roman" w:hAnsi="Times New Roman" w:cs="Times New Roman"/>
                      <w:sz w:val="24"/>
                      <w:szCs w:val="24"/>
                    </w:rPr>
                    <w:t>Trích nghị định 20/2017/NĐ-CP có hiệu lực ngày 01/5/2017</w:t>
                  </w:r>
                </w:p>
              </w:tc>
            </w:tr>
            <w:tr w:rsidR="005C4F85" w:rsidRPr="005C4F85" w:rsidTr="005C4F85">
              <w:trPr>
                <w:tblCellSpacing w:w="0" w:type="dxa"/>
              </w:trPr>
              <w:tc>
                <w:tcPr>
                  <w:tcW w:w="5000" w:type="pct"/>
                  <w:shd w:val="clear" w:color="auto" w:fill="FFFFFF"/>
                  <w:hideMark/>
                </w:tcPr>
                <w:p w:rsidR="005C4F85" w:rsidRPr="005C4F85" w:rsidRDefault="005C4F85" w:rsidP="00B4332F">
                  <w:pPr>
                    <w:spacing w:after="0" w:line="300" w:lineRule="atLeast"/>
                    <w:rPr>
                      <w:rFonts w:ascii="Times New Roman" w:eastAsia="Times New Roman" w:hAnsi="Times New Roman" w:cs="Times New Roman"/>
                      <w:sz w:val="24"/>
                      <w:szCs w:val="24"/>
                    </w:rPr>
                  </w:pPr>
                  <w:hyperlink r:id="rId11" w:tgtFrame="_blank" w:history="1">
                    <w:r w:rsidRPr="005C4F85">
                      <w:rPr>
                        <w:rFonts w:ascii="Times New Roman" w:eastAsia="Times New Roman" w:hAnsi="Times New Roman" w:cs="Times New Roman"/>
                        <w:bCs/>
                        <w:sz w:val="24"/>
                        <w:szCs w:val="24"/>
                      </w:rPr>
                      <w:br/>
                    </w:r>
                    <w:r w:rsidR="00B4332F">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Doanh nghiệp ký hợp đồng với người lao động nước ngoài ký hợp đồng lao động nhận thu nhập không bao gồm thuế TNCN (lương NET) và được doanh nghiệp trả thay tiền bảo hiểm y tế thì khoản tiền bảo hiểm y tế được doanh nghiệp trả thay là thu nhập được cộng vào đồng thời cũng được trừ ra trong công thức xác định thu nhập làm căn cứ quy đổi.</w:t>
                    </w:r>
                  </w:hyperlink>
                  <w:r w:rsidR="00B4332F">
                    <w:rPr>
                      <w:rFonts w:ascii="Times New Roman" w:eastAsia="Times New Roman" w:hAnsi="Times New Roman" w:cs="Times New Roman"/>
                      <w:sz w:val="24"/>
                      <w:szCs w:val="24"/>
                    </w:rPr>
                    <w:t xml:space="preserve"> </w:t>
                  </w:r>
                  <w:r w:rsidRPr="005C4F85">
                    <w:rPr>
                      <w:rFonts w:ascii="Times New Roman" w:eastAsia="Times New Roman" w:hAnsi="Times New Roman" w:cs="Times New Roman"/>
                      <w:sz w:val="24"/>
                      <w:szCs w:val="24"/>
                    </w:rPr>
                    <w:t xml:space="preserve">Trích công văn </w:t>
                  </w:r>
                  <w:r w:rsidR="00B4332F">
                    <w:rPr>
                      <w:rFonts w:ascii="Times New Roman" w:eastAsia="Times New Roman" w:hAnsi="Times New Roman" w:cs="Times New Roman"/>
                      <w:sz w:val="24"/>
                      <w:szCs w:val="24"/>
                    </w:rPr>
                    <w:t xml:space="preserve">  </w:t>
                  </w:r>
                  <w:r w:rsidRPr="005C4F85">
                    <w:rPr>
                      <w:rFonts w:ascii="Times New Roman" w:eastAsia="Times New Roman" w:hAnsi="Times New Roman" w:cs="Times New Roman"/>
                      <w:sz w:val="24"/>
                      <w:szCs w:val="24"/>
                    </w:rPr>
                    <w:t>037/BTC-TCT ngày 16/02/2017 của Bộ Tài chính</w:t>
                  </w:r>
                </w:p>
              </w:tc>
            </w:tr>
            <w:tr w:rsidR="005C4F85" w:rsidRPr="005C4F85" w:rsidTr="005C4F85">
              <w:trPr>
                <w:tblCellSpacing w:w="0" w:type="dxa"/>
              </w:trPr>
              <w:tc>
                <w:tcPr>
                  <w:tcW w:w="5000" w:type="pct"/>
                  <w:shd w:val="clear" w:color="auto" w:fill="FFFFFF"/>
                  <w:hideMark/>
                </w:tcPr>
                <w:p w:rsidR="005C4F85" w:rsidRPr="005C4F85" w:rsidRDefault="005C4F85" w:rsidP="00B4332F">
                  <w:pPr>
                    <w:spacing w:after="0" w:line="300" w:lineRule="atLeast"/>
                    <w:rPr>
                      <w:rFonts w:ascii="Times New Roman" w:eastAsia="Times New Roman" w:hAnsi="Times New Roman" w:cs="Times New Roman"/>
                      <w:sz w:val="24"/>
                      <w:szCs w:val="24"/>
                    </w:rPr>
                  </w:pPr>
                  <w:hyperlink r:id="rId12" w:tgtFrame="_blank" w:history="1">
                    <w:r w:rsidRPr="005C4F85">
                      <w:rPr>
                        <w:rFonts w:ascii="Times New Roman" w:eastAsia="Times New Roman" w:hAnsi="Times New Roman" w:cs="Times New Roman"/>
                        <w:bCs/>
                        <w:sz w:val="24"/>
                        <w:szCs w:val="24"/>
                      </w:rPr>
                      <w:br/>
                    </w:r>
                    <w:r w:rsidR="00B4332F">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Doanh nghiệp bỏ địa chỉ kinh doanh đã đăng ký với cơ quan thuế và mang theo hóa đơn GTGT đã đăng ký đặt in nhưng đã không sử dụng, nếu hành vi vi phạm về hóa đơn của doanh nghiệp còn thời hiệu xử phạt thì doanh nghiệp có thể chịu mức tiền phạt tối đa 100.000.000 đồng.</w:t>
                    </w:r>
                  </w:hyperlink>
                  <w:r w:rsidR="00B4332F">
                    <w:rPr>
                      <w:rFonts w:ascii="Times New Roman" w:eastAsia="Times New Roman" w:hAnsi="Times New Roman" w:cs="Times New Roman"/>
                      <w:sz w:val="24"/>
                      <w:szCs w:val="24"/>
                    </w:rPr>
                    <w:t xml:space="preserve"> </w:t>
                  </w:r>
                  <w:r w:rsidRPr="005C4F85">
                    <w:rPr>
                      <w:rFonts w:ascii="Times New Roman" w:eastAsia="Times New Roman" w:hAnsi="Times New Roman" w:cs="Times New Roman"/>
                      <w:sz w:val="24"/>
                      <w:szCs w:val="24"/>
                    </w:rPr>
                    <w:t>Trích công văn 473/TCT-CS ngày 15/02/2017 của Tổng cục Thuế.</w:t>
                  </w:r>
                </w:p>
              </w:tc>
            </w:tr>
            <w:tr w:rsidR="00B4332F" w:rsidRPr="00B4332F" w:rsidTr="00B4332F">
              <w:trPr>
                <w:tblCellSpacing w:w="0" w:type="dxa"/>
              </w:trPr>
              <w:tc>
                <w:tcPr>
                  <w:tcW w:w="5000" w:type="pct"/>
                  <w:shd w:val="clear" w:color="auto" w:fill="FFFFFF"/>
                  <w:hideMark/>
                </w:tcPr>
                <w:p w:rsidR="00B4332F" w:rsidRPr="00B4332F" w:rsidRDefault="00B4332F" w:rsidP="00B4332F">
                  <w:pPr>
                    <w:spacing w:after="0" w:line="300" w:lineRule="atLeast"/>
                    <w:rPr>
                      <w:rFonts w:ascii="Times New Roman" w:eastAsia="Times New Roman" w:hAnsi="Times New Roman" w:cs="Times New Roman"/>
                      <w:sz w:val="24"/>
                      <w:szCs w:val="24"/>
                    </w:rPr>
                  </w:pPr>
                  <w:hyperlink r:id="rId13" w:tgtFrame="_blank" w:history="1">
                    <w:r w:rsidRPr="00B4332F">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Doanh nghiệp thuê đất sử dụng vào nhiều mục đích khác nhau như: sản xuất nông nghiệp và phi nông nghiệp; xây dựng siêu thị, khách sạn</w:t>
                    </w:r>
                    <w:proofErr w:type="gramStart"/>
                    <w:r w:rsidRPr="00B4332F">
                      <w:rPr>
                        <w:rFonts w:ascii="Times New Roman" w:eastAsia="Times New Roman" w:hAnsi="Times New Roman" w:cs="Times New Roman"/>
                        <w:bCs/>
                        <w:sz w:val="24"/>
                        <w:szCs w:val="24"/>
                      </w:rPr>
                      <w:t>;...</w:t>
                    </w:r>
                    <w:proofErr w:type="gramEnd"/>
                    <w:r w:rsidRPr="00B4332F">
                      <w:rPr>
                        <w:rFonts w:ascii="Times New Roman" w:eastAsia="Times New Roman" w:hAnsi="Times New Roman" w:cs="Times New Roman"/>
                        <w:bCs/>
                        <w:sz w:val="24"/>
                        <w:szCs w:val="24"/>
                      </w:rPr>
                      <w:t xml:space="preserve"> thì doanh nghiệp chỉ được xét miễn, giảm tiền thuê đất đối với diện tích đất sử dụng cho mục đích sản xuất nông, lâm nghiệp, nuôi trồng thuỷ sản. Đối với diện tích đất sử dụng cho mục đích khác ngoài sản xuất nông, lâm nghiệp, nuôi trồng thuỷ sản cần được xác định riêng để kê khai nộp thuế.</w:t>
                    </w:r>
                  </w:hyperlink>
                  <w:r>
                    <w:rPr>
                      <w:rFonts w:ascii="Times New Roman" w:eastAsia="Times New Roman" w:hAnsi="Times New Roman" w:cs="Times New Roman"/>
                      <w:sz w:val="24"/>
                      <w:szCs w:val="24"/>
                    </w:rPr>
                    <w:t xml:space="preserve"> </w:t>
                  </w:r>
                  <w:r w:rsidRPr="00B4332F">
                    <w:rPr>
                      <w:rFonts w:ascii="Times New Roman" w:eastAsia="Times New Roman" w:hAnsi="Times New Roman" w:cs="Times New Roman"/>
                      <w:sz w:val="24"/>
                      <w:szCs w:val="24"/>
                    </w:rPr>
                    <w:t>Trích công văn 534/TCT-DNL ngày 20/02/2017 của Tổng cục Thuế</w:t>
                  </w:r>
                </w:p>
              </w:tc>
            </w:tr>
            <w:tr w:rsidR="00B4332F" w:rsidRPr="00B4332F" w:rsidTr="00B4332F">
              <w:trPr>
                <w:tblCellSpacing w:w="0" w:type="dxa"/>
              </w:trPr>
              <w:tc>
                <w:tcPr>
                  <w:tcW w:w="5000" w:type="pct"/>
                  <w:shd w:val="clear" w:color="auto" w:fill="FFFFFF"/>
                  <w:hideMark/>
                </w:tcPr>
                <w:p w:rsidR="00B4332F" w:rsidRPr="00B4332F" w:rsidRDefault="00B4332F" w:rsidP="00B4332F">
                  <w:pPr>
                    <w:spacing w:after="0" w:line="300" w:lineRule="atLeast"/>
                    <w:rPr>
                      <w:rFonts w:ascii="Times New Roman" w:eastAsia="Times New Roman" w:hAnsi="Times New Roman" w:cs="Times New Roman"/>
                      <w:sz w:val="24"/>
                      <w:szCs w:val="24"/>
                    </w:rPr>
                  </w:pPr>
                  <w:hyperlink r:id="rId14" w:tgtFrame="_blank" w:history="1">
                    <w:r w:rsidRPr="00B4332F">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Cơ sở kinh doanh mua hàng hoá, dịch vụ, trên hoá đơn mua vào có thuế suất thuế GTGT cao hơn thuế suất đã được quy định tại các văn bản quy phạm pháp luật về thuế GTGT, trường hợp bên bán đã kê khai, nộp thuế theo đúng thuế suất ghi trên hóa đơn thì được khấu trừ thuế đầu vào theo thuế suất ghi trên hoá đơn nhưng phải có xác nhận của cơ quan thuế trực tiếp quản lý người bán.</w:t>
                    </w:r>
                  </w:hyperlink>
                  <w:r>
                    <w:rPr>
                      <w:rFonts w:ascii="Times New Roman" w:eastAsia="Times New Roman" w:hAnsi="Times New Roman" w:cs="Times New Roman"/>
                      <w:sz w:val="24"/>
                      <w:szCs w:val="24"/>
                    </w:rPr>
                    <w:t xml:space="preserve"> </w:t>
                  </w:r>
                  <w:r w:rsidRPr="00B4332F">
                    <w:rPr>
                      <w:rFonts w:ascii="Times New Roman" w:eastAsia="Times New Roman" w:hAnsi="Times New Roman" w:cs="Times New Roman"/>
                      <w:sz w:val="24"/>
                      <w:szCs w:val="24"/>
                    </w:rPr>
                    <w:t>Trích công văn 554/TCT-CS ngày 22/02/2017 của Tổng cục Thuế</w:t>
                  </w:r>
                </w:p>
              </w:tc>
            </w:tr>
            <w:tr w:rsidR="00B4332F" w:rsidRPr="00B4332F" w:rsidTr="00B4332F">
              <w:trPr>
                <w:tblCellSpacing w:w="0" w:type="dxa"/>
              </w:trPr>
              <w:tc>
                <w:tcPr>
                  <w:tcW w:w="5000" w:type="pct"/>
                  <w:shd w:val="clear" w:color="auto" w:fill="FFFFFF"/>
                  <w:hideMark/>
                </w:tcPr>
                <w:p w:rsidR="00B4332F" w:rsidRPr="00B4332F" w:rsidRDefault="00B4332F" w:rsidP="00B4332F">
                  <w:pPr>
                    <w:spacing w:after="0" w:line="300" w:lineRule="atLeast"/>
                    <w:rPr>
                      <w:rFonts w:ascii="Times New Roman" w:eastAsia="Times New Roman" w:hAnsi="Times New Roman" w:cs="Times New Roman"/>
                      <w:sz w:val="24"/>
                      <w:szCs w:val="24"/>
                    </w:rPr>
                  </w:pPr>
                  <w:hyperlink r:id="rId15" w:tgtFrame="_blank" w:history="1">
                    <w:r w:rsidRPr="00B4332F">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Chi nhánh hoạt động có con dấu, mã số thuế đơn vị trực thuộc, hạch toán theo hình thức phụ thuộc, trực tiếp bán hàng hóa, dịch vụ và có phát sinh doanh thu, xuất hóa đơn và thực hiện kê khai thuế GTGT theo phương pháp khấu trừ thì Chi nhánh không thuộc đối tượng kê khai, nộp thuế GTGT theo tỷ lệ 2% hoặc 1% trên doanh thu.</w:t>
                    </w:r>
                  </w:hyperlink>
                  <w:r>
                    <w:rPr>
                      <w:rFonts w:ascii="Times New Roman" w:eastAsia="Times New Roman" w:hAnsi="Times New Roman" w:cs="Times New Roman"/>
                      <w:sz w:val="24"/>
                      <w:szCs w:val="24"/>
                    </w:rPr>
                    <w:t xml:space="preserve"> </w:t>
                  </w:r>
                  <w:r w:rsidRPr="00B4332F">
                    <w:rPr>
                      <w:rFonts w:ascii="Times New Roman" w:eastAsia="Times New Roman" w:hAnsi="Times New Roman" w:cs="Times New Roman"/>
                      <w:sz w:val="24"/>
                      <w:szCs w:val="24"/>
                    </w:rPr>
                    <w:t>Trích công văn 476/TCT-CS ngày 15/02/2017 của Tổng cục Thuế</w:t>
                  </w:r>
                  <w:r>
                    <w:rPr>
                      <w:rFonts w:ascii="Times New Roman" w:eastAsia="Times New Roman" w:hAnsi="Times New Roman" w:cs="Times New Roman"/>
                      <w:sz w:val="24"/>
                      <w:szCs w:val="24"/>
                    </w:rPr>
                    <w:t>.</w:t>
                  </w:r>
                </w:p>
              </w:tc>
            </w:tr>
            <w:tr w:rsidR="00B4332F" w:rsidRPr="00B4332F" w:rsidTr="00B4332F">
              <w:trPr>
                <w:tblCellSpacing w:w="0" w:type="dxa"/>
              </w:trPr>
              <w:tc>
                <w:tcPr>
                  <w:tcW w:w="5000" w:type="pct"/>
                  <w:shd w:val="clear" w:color="auto" w:fill="FFFFFF"/>
                  <w:hideMark/>
                </w:tcPr>
                <w:p w:rsidR="00B4332F" w:rsidRPr="00B4332F" w:rsidRDefault="00B4332F" w:rsidP="00355E73">
                  <w:pPr>
                    <w:spacing w:after="0" w:line="300" w:lineRule="atLeast"/>
                    <w:rPr>
                      <w:rFonts w:ascii="Times New Roman" w:eastAsia="Times New Roman" w:hAnsi="Times New Roman" w:cs="Times New Roman"/>
                      <w:sz w:val="24"/>
                      <w:szCs w:val="24"/>
                    </w:rPr>
                  </w:pPr>
                  <w:hyperlink r:id="rId16" w:tgtFrame="_blank" w:history="1">
                    <w:r w:rsidRPr="00B4332F">
                      <w:rPr>
                        <w:rFonts w:ascii="Times New Roman" w:eastAsia="Times New Roman" w:hAnsi="Times New Roman" w:cs="Times New Roman"/>
                        <w:bCs/>
                        <w:sz w:val="24"/>
                        <w:szCs w:val="24"/>
                      </w:rPr>
                      <w:br/>
                    </w:r>
                    <w:r w:rsidR="00355E73">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Cá nhân được người sử dụng lao động mua bảo hiểm nhân thọ, bảo hiểm không bắt buộc khác có tích lũy về phí bảo hiểm mà người sử dụng lao động hoặc doanh nghiệp bảo hiểm đã khấu trừ thuế TNCN theo tỷ lệ 10% trên khoản tiền phí bảo hiểm tương ứng với phần người sử dụng lao động thì không phải Quyết toán thuế đối với phần thu nhập này.</w:t>
                    </w:r>
                  </w:hyperlink>
                  <w:r w:rsidR="00355E73">
                    <w:rPr>
                      <w:rFonts w:ascii="Times New Roman" w:eastAsia="Times New Roman" w:hAnsi="Times New Roman" w:cs="Times New Roman"/>
                      <w:sz w:val="24"/>
                      <w:szCs w:val="24"/>
                    </w:rPr>
                    <w:t xml:space="preserve"> </w:t>
                  </w:r>
                  <w:r w:rsidRPr="00B4332F">
                    <w:rPr>
                      <w:rFonts w:ascii="Times New Roman" w:eastAsia="Times New Roman" w:hAnsi="Times New Roman" w:cs="Times New Roman"/>
                      <w:sz w:val="24"/>
                      <w:szCs w:val="24"/>
                    </w:rPr>
                    <w:t>Trích công văn 5286/CT-TNCN ngày 16/02/2017 của Cục thuế TP Hà Nội</w:t>
                  </w:r>
                </w:p>
              </w:tc>
            </w:tr>
          </w:tbl>
          <w:p w:rsidR="00AA501C" w:rsidRPr="00AA501C" w:rsidRDefault="00AA501C" w:rsidP="00355E73">
            <w:pPr>
              <w:spacing w:after="0" w:line="300" w:lineRule="atLeast"/>
              <w:rPr>
                <w:rFonts w:ascii="Times New Roman" w:eastAsia="Times New Roman" w:hAnsi="Times New Roman" w:cs="Times New Roman"/>
                <w:sz w:val="24"/>
                <w:szCs w:val="24"/>
              </w:rPr>
            </w:pPr>
            <w:hyperlink r:id="rId17" w:tgtFrame="_blank" w:history="1">
              <w:r w:rsidRPr="00AA501C">
                <w:rPr>
                  <w:rFonts w:ascii="Times New Roman" w:eastAsia="Times New Roman" w:hAnsi="Times New Roman" w:cs="Times New Roman"/>
                  <w:bCs/>
                  <w:sz w:val="24"/>
                  <w:szCs w:val="24"/>
                </w:rPr>
                <w:br/>
              </w:r>
              <w:r w:rsidR="00355E73">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Cá nhân kinh doanh vận tải ký hợp đồng hợp tác kinh doanh với tổ chức kinh doanh vận tải, thỏa thuận phân chia kết quả kinh doanh theo doanh thu thì nộp thuế GTGT theo tỷ lệ 3% trên doanh thu, thuế TNCN theo tỷ lệ 1</w:t>
              </w:r>
              <w:proofErr w:type="gramStart"/>
              <w:r w:rsidRPr="00B4332F">
                <w:rPr>
                  <w:rFonts w:ascii="Times New Roman" w:eastAsia="Times New Roman" w:hAnsi="Times New Roman" w:cs="Times New Roman"/>
                  <w:bCs/>
                  <w:sz w:val="24"/>
                  <w:szCs w:val="24"/>
                </w:rPr>
                <w:t>,5</w:t>
              </w:r>
              <w:proofErr w:type="gramEnd"/>
              <w:r w:rsidRPr="00B4332F">
                <w:rPr>
                  <w:rFonts w:ascii="Times New Roman" w:eastAsia="Times New Roman" w:hAnsi="Times New Roman" w:cs="Times New Roman"/>
                  <w:bCs/>
                  <w:sz w:val="24"/>
                  <w:szCs w:val="24"/>
                </w:rPr>
                <w:t xml:space="preserve"> % trên doanh thu, đối với các khoản tiền thưởng khuyến khích theo doanh thu ngày thì không tính thuế GTGT, cá nhân nộp thuế TNCN theo tỷ lệ 1% trên tiền thưởng.</w:t>
              </w:r>
            </w:hyperlink>
            <w:r w:rsidR="00355E73">
              <w:rPr>
                <w:rFonts w:ascii="Times New Roman" w:eastAsia="Times New Roman" w:hAnsi="Times New Roman" w:cs="Times New Roman"/>
                <w:sz w:val="24"/>
                <w:szCs w:val="24"/>
              </w:rPr>
              <w:t xml:space="preserve"> </w:t>
            </w:r>
            <w:r w:rsidRPr="00AA501C">
              <w:rPr>
                <w:rFonts w:ascii="Times New Roman" w:eastAsia="Times New Roman" w:hAnsi="Times New Roman" w:cs="Times New Roman"/>
                <w:sz w:val="24"/>
                <w:szCs w:val="24"/>
              </w:rPr>
              <w:t>Trích công văn 384/TCT-TNCN ngày 08/02/2017 của Tổng cục Thuế.</w:t>
            </w:r>
          </w:p>
        </w:tc>
      </w:tr>
      <w:tr w:rsidR="00AA501C" w:rsidRPr="00AA501C" w:rsidTr="00AA501C">
        <w:trPr>
          <w:tblCellSpacing w:w="0" w:type="dxa"/>
        </w:trPr>
        <w:tc>
          <w:tcPr>
            <w:tcW w:w="5000" w:type="pct"/>
            <w:shd w:val="clear" w:color="auto" w:fill="FFFFFF"/>
            <w:hideMark/>
          </w:tcPr>
          <w:p w:rsidR="00AA501C" w:rsidRPr="00AA501C" w:rsidRDefault="00AA501C" w:rsidP="00355E73">
            <w:pPr>
              <w:spacing w:after="0" w:line="300" w:lineRule="atLeast"/>
              <w:rPr>
                <w:rFonts w:ascii="Times New Roman" w:eastAsia="Times New Roman" w:hAnsi="Times New Roman" w:cs="Times New Roman"/>
                <w:sz w:val="24"/>
                <w:szCs w:val="24"/>
              </w:rPr>
            </w:pPr>
            <w:hyperlink r:id="rId18" w:tgtFrame="_blank" w:history="1">
              <w:r w:rsidRPr="00AA501C">
                <w:rPr>
                  <w:rFonts w:ascii="Times New Roman" w:eastAsia="Times New Roman" w:hAnsi="Times New Roman" w:cs="Times New Roman"/>
                  <w:bCs/>
                  <w:sz w:val="24"/>
                  <w:szCs w:val="24"/>
                </w:rPr>
                <w:br/>
              </w:r>
              <w:r w:rsidR="00355E73">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Doanh nghiệp cho các công ty trong cùng tập đoàn vay thông qua việc ủy thác cho ngân hàng thì doanh nghiệp phải có nghĩa vụ kê khai giao dịch liên kết này theo mức lãi suất được xác định theo nguyên tắc giao dịch độc lập trên cơ sở nguyên tắc giá thị trường.</w:t>
              </w:r>
            </w:hyperlink>
            <w:r w:rsidR="00355E73">
              <w:rPr>
                <w:rFonts w:ascii="Times New Roman" w:eastAsia="Times New Roman" w:hAnsi="Times New Roman" w:cs="Times New Roman"/>
                <w:sz w:val="24"/>
                <w:szCs w:val="24"/>
              </w:rPr>
              <w:t xml:space="preserve"> </w:t>
            </w:r>
            <w:r w:rsidRPr="00AA501C">
              <w:rPr>
                <w:rFonts w:ascii="Times New Roman" w:eastAsia="Times New Roman" w:hAnsi="Times New Roman" w:cs="Times New Roman"/>
                <w:sz w:val="24"/>
                <w:szCs w:val="24"/>
              </w:rPr>
              <w:t>Trích công văn 355/TCT-CS ngày 25/01/2017 của Tổng cục Thuế</w:t>
            </w:r>
          </w:p>
        </w:tc>
      </w:tr>
      <w:tr w:rsidR="00AA501C" w:rsidRPr="00AA501C" w:rsidTr="00AA501C">
        <w:trPr>
          <w:tblCellSpacing w:w="0" w:type="dxa"/>
        </w:trPr>
        <w:tc>
          <w:tcPr>
            <w:tcW w:w="5000" w:type="pct"/>
            <w:shd w:val="clear" w:color="auto" w:fill="FFFFFF"/>
            <w:hideMark/>
          </w:tcPr>
          <w:p w:rsidR="00AA501C" w:rsidRPr="00AA501C" w:rsidRDefault="00AA501C" w:rsidP="00355E73">
            <w:pPr>
              <w:spacing w:after="0" w:line="300" w:lineRule="atLeast"/>
              <w:rPr>
                <w:rFonts w:ascii="Times New Roman" w:eastAsia="Times New Roman" w:hAnsi="Times New Roman" w:cs="Times New Roman"/>
                <w:sz w:val="24"/>
                <w:szCs w:val="24"/>
              </w:rPr>
            </w:pPr>
            <w:hyperlink r:id="rId19" w:tgtFrame="_blank" w:history="1">
              <w:r w:rsidRPr="00AA501C">
                <w:rPr>
                  <w:rFonts w:ascii="Times New Roman" w:eastAsia="Times New Roman" w:hAnsi="Times New Roman" w:cs="Times New Roman"/>
                  <w:bCs/>
                  <w:sz w:val="24"/>
                  <w:szCs w:val="24"/>
                </w:rPr>
                <w:br/>
              </w:r>
              <w:r w:rsidR="00355E73">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 xml:space="preserve">Tài sản điều chuyển giữa các đơn vị hạch toán độc lập hoặc giữa các đơn vị thành viên có tư cách pháp nhân đầy đủ trong cùng một tổ chức, cá nhân thì tổ chức, </w:t>
              </w:r>
              <w:proofErr w:type="gramStart"/>
              <w:r w:rsidRPr="00B4332F">
                <w:rPr>
                  <w:rFonts w:ascii="Times New Roman" w:eastAsia="Times New Roman" w:hAnsi="Times New Roman" w:cs="Times New Roman"/>
                  <w:bCs/>
                  <w:sz w:val="24"/>
                  <w:szCs w:val="24"/>
                </w:rPr>
                <w:t>cá</w:t>
              </w:r>
              <w:proofErr w:type="gramEnd"/>
              <w:r w:rsidRPr="00B4332F">
                <w:rPr>
                  <w:rFonts w:ascii="Times New Roman" w:eastAsia="Times New Roman" w:hAnsi="Times New Roman" w:cs="Times New Roman"/>
                  <w:bCs/>
                  <w:sz w:val="24"/>
                  <w:szCs w:val="24"/>
                </w:rPr>
                <w:t xml:space="preserve"> nhân có tài sản điều chuyển phải lập hóa đơn GTGT theo quy định.</w:t>
              </w:r>
            </w:hyperlink>
            <w:r w:rsidR="00355E73">
              <w:rPr>
                <w:rFonts w:ascii="Times New Roman" w:eastAsia="Times New Roman" w:hAnsi="Times New Roman" w:cs="Times New Roman"/>
                <w:sz w:val="24"/>
                <w:szCs w:val="24"/>
              </w:rPr>
              <w:t xml:space="preserve"> </w:t>
            </w:r>
            <w:r w:rsidRPr="00AA501C">
              <w:rPr>
                <w:rFonts w:ascii="Times New Roman" w:eastAsia="Times New Roman" w:hAnsi="Times New Roman" w:cs="Times New Roman"/>
                <w:sz w:val="24"/>
                <w:szCs w:val="24"/>
              </w:rPr>
              <w:t>Trích công văn 269/TCT-KK ngày 20/01/2017 của Tổng cục Thuế</w:t>
            </w:r>
          </w:p>
        </w:tc>
      </w:tr>
      <w:tr w:rsidR="00AA501C" w:rsidRPr="00AA501C" w:rsidTr="00AA501C">
        <w:trPr>
          <w:tblCellSpacing w:w="0" w:type="dxa"/>
        </w:trPr>
        <w:tc>
          <w:tcPr>
            <w:tcW w:w="5000" w:type="pct"/>
            <w:shd w:val="clear" w:color="auto" w:fill="FFFFFF"/>
            <w:hideMark/>
          </w:tcPr>
          <w:p w:rsidR="00AA501C" w:rsidRPr="00AA501C" w:rsidRDefault="00AA501C" w:rsidP="00355E73">
            <w:pPr>
              <w:spacing w:after="0" w:line="300" w:lineRule="atLeast"/>
              <w:rPr>
                <w:rFonts w:ascii="Times New Roman" w:eastAsia="Times New Roman" w:hAnsi="Times New Roman" w:cs="Times New Roman"/>
                <w:sz w:val="24"/>
                <w:szCs w:val="24"/>
              </w:rPr>
            </w:pPr>
            <w:hyperlink r:id="rId20" w:tgtFrame="_blank" w:history="1">
              <w:r w:rsidRPr="00AA501C">
                <w:rPr>
                  <w:rFonts w:ascii="Times New Roman" w:eastAsia="Times New Roman" w:hAnsi="Times New Roman" w:cs="Times New Roman"/>
                  <w:bCs/>
                  <w:sz w:val="24"/>
                  <w:szCs w:val="24"/>
                </w:rPr>
                <w:br/>
              </w:r>
              <w:r w:rsidR="00355E73">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Cơ sở kinh doanh mới thành lập từ dự án đầu tư đã đăng ký kinh doanh, đăng ký nộp thuế GTGT theo phương pháp khấu trừ, nộp hồ sơ đề nghị hoàn thuế nhưng tính đến ngày nộp hồ sơ không góp đủ số vốn điều lệ như đăng ký theo quy định thì cơ sở kinh doanh không được hoàn thuế mà được kết chuyển số thuế chưa được khấu trừ về đầu tư sang kỳ tiếp theo.</w:t>
              </w:r>
            </w:hyperlink>
            <w:r w:rsidR="00355E73">
              <w:rPr>
                <w:rFonts w:ascii="Times New Roman" w:eastAsia="Times New Roman" w:hAnsi="Times New Roman" w:cs="Times New Roman"/>
                <w:sz w:val="24"/>
                <w:szCs w:val="24"/>
              </w:rPr>
              <w:t xml:space="preserve"> </w:t>
            </w:r>
            <w:r w:rsidRPr="00AA501C">
              <w:rPr>
                <w:rFonts w:ascii="Times New Roman" w:eastAsia="Times New Roman" w:hAnsi="Times New Roman" w:cs="Times New Roman"/>
                <w:sz w:val="24"/>
                <w:szCs w:val="24"/>
              </w:rPr>
              <w:t>Trích công văn 361/TCT-CS ngày 02/02/2017 của Tổng cục Thuế.</w:t>
            </w:r>
          </w:p>
        </w:tc>
      </w:tr>
      <w:tr w:rsidR="00AA501C" w:rsidRPr="00AA501C" w:rsidTr="00AA501C">
        <w:trPr>
          <w:tblCellSpacing w:w="0" w:type="dxa"/>
        </w:trPr>
        <w:tc>
          <w:tcPr>
            <w:tcW w:w="5000" w:type="pct"/>
            <w:shd w:val="clear" w:color="auto" w:fill="FFFFFF"/>
            <w:hideMark/>
          </w:tcPr>
          <w:p w:rsidR="00AA501C" w:rsidRPr="00AA501C" w:rsidRDefault="00AA501C" w:rsidP="00355E73">
            <w:pPr>
              <w:spacing w:after="0" w:line="300" w:lineRule="atLeast"/>
              <w:rPr>
                <w:rFonts w:ascii="Times New Roman" w:eastAsia="Times New Roman" w:hAnsi="Times New Roman" w:cs="Times New Roman"/>
                <w:sz w:val="24"/>
                <w:szCs w:val="24"/>
              </w:rPr>
            </w:pPr>
            <w:hyperlink r:id="rId21" w:tgtFrame="_blank" w:history="1">
              <w:r w:rsidRPr="00AA501C">
                <w:rPr>
                  <w:rFonts w:ascii="Times New Roman" w:eastAsia="Times New Roman" w:hAnsi="Times New Roman" w:cs="Times New Roman"/>
                  <w:bCs/>
                  <w:sz w:val="24"/>
                  <w:szCs w:val="24"/>
                </w:rPr>
                <w:br/>
              </w:r>
              <w:r w:rsidR="00355E73">
                <w:rPr>
                  <w:rFonts w:ascii="Times New Roman" w:eastAsia="Times New Roman" w:hAnsi="Times New Roman" w:cs="Times New Roman"/>
                  <w:bCs/>
                  <w:sz w:val="24"/>
                  <w:szCs w:val="24"/>
                </w:rPr>
                <w:t xml:space="preserve">      </w:t>
              </w:r>
              <w:r w:rsidRPr="00B4332F">
                <w:rPr>
                  <w:rFonts w:ascii="Times New Roman" w:eastAsia="Times New Roman" w:hAnsi="Times New Roman" w:cs="Times New Roman"/>
                  <w:bCs/>
                  <w:sz w:val="24"/>
                  <w:szCs w:val="24"/>
                </w:rPr>
                <w:t>Trong chu kỳ khai thuế ổn định theo tháng, nếu doanh thu của năm trước liền kề của chu kỳ khai thuế ổn định này từ 50 tỷ đồng trở xuống, người nộp thuế đủ điều kiện để khai thuế GTGT theo quý của chu kỳ ổn định đó thì được lựa chọn hình thức khai thuế theo tháng hoặc quý từ năm tiếp theo liền kề của năm phát hiện chờ đến hết chu kỳ ổn định.</w:t>
              </w:r>
            </w:hyperlink>
            <w:r w:rsidR="00355E73">
              <w:rPr>
                <w:rFonts w:ascii="Times New Roman" w:eastAsia="Times New Roman" w:hAnsi="Times New Roman" w:cs="Times New Roman"/>
                <w:sz w:val="24"/>
                <w:szCs w:val="24"/>
              </w:rPr>
              <w:t xml:space="preserve"> </w:t>
            </w:r>
            <w:r w:rsidRPr="00AA501C">
              <w:rPr>
                <w:rFonts w:ascii="Times New Roman" w:eastAsia="Times New Roman" w:hAnsi="Times New Roman" w:cs="Times New Roman"/>
                <w:sz w:val="24"/>
                <w:szCs w:val="24"/>
              </w:rPr>
              <w:t>Trích công văn 360/TCT-KK ngày 02/02/2017 của Tổng cục Thuế</w:t>
            </w:r>
          </w:p>
        </w:tc>
      </w:tr>
      <w:tr w:rsidR="00AA501C" w:rsidRPr="00AA501C" w:rsidTr="00AA501C">
        <w:trPr>
          <w:tblCellSpacing w:w="0" w:type="dxa"/>
        </w:trPr>
        <w:tc>
          <w:tcPr>
            <w:tcW w:w="5000" w:type="pct"/>
            <w:shd w:val="clear" w:color="auto" w:fill="FFFFFF"/>
            <w:hideMark/>
          </w:tcPr>
          <w:p w:rsidR="00AA501C" w:rsidRPr="00AA501C" w:rsidRDefault="00AA501C" w:rsidP="00355E73">
            <w:pPr>
              <w:spacing w:after="0" w:line="300" w:lineRule="atLeast"/>
              <w:rPr>
                <w:rFonts w:ascii="Times New Roman" w:eastAsia="Times New Roman" w:hAnsi="Times New Roman" w:cs="Times New Roman"/>
                <w:sz w:val="24"/>
                <w:szCs w:val="24"/>
              </w:rPr>
            </w:pPr>
            <w:hyperlink r:id="rId22" w:tgtFrame="_blank" w:history="1">
              <w:r w:rsidRPr="00AA501C">
                <w:rPr>
                  <w:rFonts w:ascii="Times New Roman" w:eastAsia="Times New Roman" w:hAnsi="Times New Roman" w:cs="Times New Roman"/>
                  <w:bCs/>
                  <w:sz w:val="24"/>
                  <w:szCs w:val="24"/>
                </w:rPr>
                <w:br/>
              </w:r>
              <w:r w:rsidRPr="00B4332F">
                <w:rPr>
                  <w:rFonts w:ascii="Times New Roman" w:eastAsia="Times New Roman" w:hAnsi="Times New Roman" w:cs="Times New Roman"/>
                  <w:bCs/>
                  <w:sz w:val="24"/>
                  <w:szCs w:val="24"/>
                </w:rPr>
                <w:t>Giá tính thuế giá trị gia tăng đối với điện của các công ty sản xuất điện hạch toán phụ thuộc Tập đoàn Điện lực Việt Nam và hạch toán phụ thuộc các Tổng công ty phát điện là giá bán điện cho khách hàng ghi trên hóa đơn theo hợp đồng mua bán điện.</w:t>
              </w:r>
            </w:hyperlink>
            <w:r w:rsidR="00355E73">
              <w:rPr>
                <w:rFonts w:ascii="Times New Roman" w:eastAsia="Times New Roman" w:hAnsi="Times New Roman" w:cs="Times New Roman"/>
                <w:sz w:val="24"/>
                <w:szCs w:val="24"/>
              </w:rPr>
              <w:t xml:space="preserve"> </w:t>
            </w:r>
            <w:r w:rsidRPr="00AA501C">
              <w:rPr>
                <w:rFonts w:ascii="Times New Roman" w:eastAsia="Times New Roman" w:hAnsi="Times New Roman" w:cs="Times New Roman"/>
                <w:sz w:val="24"/>
                <w:szCs w:val="24"/>
              </w:rPr>
              <w:t>Trích Nghị định 10/2017/NĐ-CP sửa đổi Nghị định 209/2013/NĐ-CP về thuế GTGT và ban hành Quy chế quản lý tài chính của Tập đoàn điện lực Việt Nam.</w:t>
            </w:r>
          </w:p>
        </w:tc>
      </w:tr>
    </w:tbl>
    <w:p w:rsidR="00103E86" w:rsidRPr="00B4332F" w:rsidRDefault="00103E86" w:rsidP="00AA501C">
      <w:pPr>
        <w:ind w:firstLine="450"/>
        <w:jc w:val="both"/>
        <w:rPr>
          <w:rFonts w:ascii="Times New Roman" w:eastAsia="Times New Roman" w:hAnsi="Times New Roman" w:cs="Times New Roman"/>
          <w:bCs/>
          <w:sz w:val="24"/>
          <w:szCs w:val="24"/>
        </w:rPr>
      </w:pPr>
    </w:p>
    <w:sectPr w:rsidR="00103E86" w:rsidRPr="00B4332F"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63D7"/>
    <w:rsid w:val="00103E86"/>
    <w:rsid w:val="00141B84"/>
    <w:rsid w:val="001E2084"/>
    <w:rsid w:val="00203FBA"/>
    <w:rsid w:val="002C7C6E"/>
    <w:rsid w:val="00354F6E"/>
    <w:rsid w:val="00355E73"/>
    <w:rsid w:val="00377962"/>
    <w:rsid w:val="003A7D18"/>
    <w:rsid w:val="004122E2"/>
    <w:rsid w:val="00463E94"/>
    <w:rsid w:val="004C547B"/>
    <w:rsid w:val="005C4F85"/>
    <w:rsid w:val="00614B8E"/>
    <w:rsid w:val="00616B9C"/>
    <w:rsid w:val="006319DE"/>
    <w:rsid w:val="006B060F"/>
    <w:rsid w:val="00752049"/>
    <w:rsid w:val="007F3B4A"/>
    <w:rsid w:val="007F7A79"/>
    <w:rsid w:val="008A77DE"/>
    <w:rsid w:val="008B6672"/>
    <w:rsid w:val="008F3D81"/>
    <w:rsid w:val="00911A71"/>
    <w:rsid w:val="009166DA"/>
    <w:rsid w:val="009226A7"/>
    <w:rsid w:val="00A061FF"/>
    <w:rsid w:val="00AA501C"/>
    <w:rsid w:val="00AA51DF"/>
    <w:rsid w:val="00B4332F"/>
    <w:rsid w:val="00B563D7"/>
    <w:rsid w:val="00B736FA"/>
    <w:rsid w:val="00CA4053"/>
    <w:rsid w:val="00CC3107"/>
    <w:rsid w:val="00CE44FD"/>
    <w:rsid w:val="00DD75A7"/>
    <w:rsid w:val="00DE7453"/>
    <w:rsid w:val="00EF2E90"/>
    <w:rsid w:val="00F4415F"/>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354F6E"/>
    <w:pPr>
      <w:spacing w:before="60" w:after="60" w:line="300" w:lineRule="atLeast"/>
      <w:ind w:left="576"/>
      <w:jc w:val="center"/>
      <w:outlineLvl w:val="1"/>
    </w:pPr>
    <w:rPr>
      <w:rFonts w:ascii="Times New Roman" w:eastAsia="Times New Roman" w:hAnsi="Times New Roman" w:cs="Times New Roman"/>
      <w:b/>
      <w:bCs/>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354F6E"/>
    <w:rPr>
      <w:rFonts w:ascii="Times New Roman" w:eastAsia="Times New Roman" w:hAnsi="Times New Roman" w:cs="Times New Roman"/>
      <w:b/>
      <w:bCs/>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ts24.com.vn/ems/link.php?M=1175302&amp;N=1868&amp;L=5027&amp;F=H" TargetMode="External"/><Relationship Id="rId13" Type="http://schemas.openxmlformats.org/officeDocument/2006/relationships/hyperlink" Target="http://ems.ts24.com.vn/ems/link.php?M=1175302&amp;N=1919&amp;L=5099&amp;F=H" TargetMode="External"/><Relationship Id="rId18" Type="http://schemas.openxmlformats.org/officeDocument/2006/relationships/hyperlink" Target="http://ems.ts24.com.vn/ems/link.php?M=1175302&amp;N=1868&amp;L=5025&amp;F=H" TargetMode="External"/><Relationship Id="rId3" Type="http://schemas.openxmlformats.org/officeDocument/2006/relationships/settings" Target="settings.xml"/><Relationship Id="rId21" Type="http://schemas.openxmlformats.org/officeDocument/2006/relationships/hyperlink" Target="http://ems.ts24.com.vn/ems/link.php?M=1175302&amp;N=1868&amp;L=5022&amp;F=H" TargetMode="External"/><Relationship Id="rId7" Type="http://schemas.openxmlformats.org/officeDocument/2006/relationships/hyperlink" Target="http://ems.ts24.com.vn/ems/link.php?M=1175302&amp;N=1868&amp;L=5028&amp;F=H" TargetMode="External"/><Relationship Id="rId12" Type="http://schemas.openxmlformats.org/officeDocument/2006/relationships/hyperlink" Target="http://ems.ts24.com.vn/ems/link.php?M=1175302&amp;N=1919&amp;L=5100&amp;F=H" TargetMode="External"/><Relationship Id="rId17" Type="http://schemas.openxmlformats.org/officeDocument/2006/relationships/hyperlink" Target="http://ems.ts24.com.vn/ems/link.php?M=1175302&amp;N=1868&amp;L=5026&amp;F=H" TargetMode="External"/><Relationship Id="rId2" Type="http://schemas.openxmlformats.org/officeDocument/2006/relationships/styles" Target="styles.xml"/><Relationship Id="rId16" Type="http://schemas.openxmlformats.org/officeDocument/2006/relationships/hyperlink" Target="http://ems.ts24.com.vn/ems/link.php?M=1175302&amp;N=1919&amp;L=5096&amp;F=H" TargetMode="External"/><Relationship Id="rId20" Type="http://schemas.openxmlformats.org/officeDocument/2006/relationships/hyperlink" Target="http://ems.ts24.com.vn/ems/link.php?M=1175302&amp;N=1868&amp;L=5023&amp;F=H" TargetMode="External"/><Relationship Id="rId1" Type="http://schemas.openxmlformats.org/officeDocument/2006/relationships/numbering" Target="numbering.xml"/><Relationship Id="rId6" Type="http://schemas.openxmlformats.org/officeDocument/2006/relationships/hyperlink" Target="http://ems.ts24.com.vn/ems/link.php?M=1175302&amp;N=1868&amp;L=5038&amp;F=H" TargetMode="External"/><Relationship Id="rId11" Type="http://schemas.openxmlformats.org/officeDocument/2006/relationships/hyperlink" Target="http://ems.ts24.com.vn/ems/link.php?M=1175302&amp;N=1919&amp;L=5101&amp;F=H" TargetMode="External"/><Relationship Id="rId24" Type="http://schemas.openxmlformats.org/officeDocument/2006/relationships/theme" Target="theme/theme1.xml"/><Relationship Id="rId5" Type="http://schemas.openxmlformats.org/officeDocument/2006/relationships/hyperlink" Target="http://ems.ts24.com.vn/ems/link.php?M=1175302&amp;N=1868&amp;L=5040&amp;F=H" TargetMode="External"/><Relationship Id="rId15" Type="http://schemas.openxmlformats.org/officeDocument/2006/relationships/hyperlink" Target="http://ems.ts24.com.vn/ems/link.php?M=1175302&amp;N=1919&amp;L=5097&amp;F=H" TargetMode="External"/><Relationship Id="rId23" Type="http://schemas.openxmlformats.org/officeDocument/2006/relationships/fontTable" Target="fontTable.xml"/><Relationship Id="rId10" Type="http://schemas.openxmlformats.org/officeDocument/2006/relationships/hyperlink" Target="http://ems.ts24.com.vn/ems/link.php?M=1175302&amp;N=1919&amp;L=5114&amp;F=H" TargetMode="External"/><Relationship Id="rId19" Type="http://schemas.openxmlformats.org/officeDocument/2006/relationships/hyperlink" Target="http://ems.ts24.com.vn/ems/link.php?M=1175302&amp;N=1868&amp;L=5024&amp;F=H" TargetMode="External"/><Relationship Id="rId4" Type="http://schemas.openxmlformats.org/officeDocument/2006/relationships/webSettings" Target="webSettings.xml"/><Relationship Id="rId9" Type="http://schemas.openxmlformats.org/officeDocument/2006/relationships/hyperlink" Target="http://ems.ts24.com.vn/ems/link.php?M=1175302&amp;N=1919&amp;L=5112&amp;F=H" TargetMode="External"/><Relationship Id="rId14" Type="http://schemas.openxmlformats.org/officeDocument/2006/relationships/hyperlink" Target="http://ems.ts24.com.vn/ems/link.php?M=1175302&amp;N=1919&amp;L=5098&amp;F=H" TargetMode="External"/><Relationship Id="rId22" Type="http://schemas.openxmlformats.org/officeDocument/2006/relationships/hyperlink" Target="http://ems.ts24.com.vn/ems/link.php?M=1175302&amp;N=1868&amp;L=5021&amp;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3</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2017-03-15T08:50:00Z</dcterms:created>
  <dcterms:modified xsi:type="dcterms:W3CDTF">2017-03-16T02:36:00Z</dcterms:modified>
</cp:coreProperties>
</file>