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Default="00DE7453" w:rsidP="00FA43C6">
      <w:pPr>
        <w:pStyle w:val="Heading2"/>
      </w:pPr>
      <w:r>
        <w:t>NHỮNG</w:t>
      </w:r>
      <w:r w:rsidR="004122E2" w:rsidRPr="00FA43C6">
        <w:t xml:space="preserve"> THAY ĐỔI VỀ CHẾ ĐỘ KẾ TOÁN, THUẾ THEO HỆ THỐNG VĂN BẢN MỚI</w:t>
      </w:r>
      <w:r w:rsidR="006B060F">
        <w:t xml:space="preserve"> CẬP NHẬT ĐẾN THÁNG 7-2016</w:t>
      </w:r>
    </w:p>
    <w:p w:rsidR="00FA43C6" w:rsidRPr="00FA43C6" w:rsidRDefault="00FA43C6" w:rsidP="00FA43C6">
      <w:pPr>
        <w:pStyle w:val="Heading2"/>
      </w:pPr>
    </w:p>
    <w:p w:rsidR="00B563D7" w:rsidRPr="00FA43C6" w:rsidRDefault="00FA43C6" w:rsidP="00FA43C6">
      <w:pPr>
        <w:pStyle w:val="Heading2"/>
      </w:pPr>
      <w:r>
        <w:t xml:space="preserve">                                                                  </w:t>
      </w:r>
      <w:r w:rsidR="00B563D7" w:rsidRPr="00FA43C6">
        <w:t>Giảng viên: Nguyễn Thị Kim Hương</w:t>
      </w:r>
    </w:p>
    <w:p w:rsidR="004122E2" w:rsidRPr="00FA43C6" w:rsidRDefault="004122E2" w:rsidP="008A77DE">
      <w:pPr>
        <w:pStyle w:val="Heading3"/>
        <w:spacing w:before="60" w:after="60"/>
        <w:jc w:val="both"/>
        <w:rPr>
          <w:rFonts w:cs="Times New Roman"/>
          <w:b w:val="0"/>
        </w:rPr>
      </w:pPr>
      <w:r w:rsidRPr="00FA43C6">
        <w:rPr>
          <w:rFonts w:cs="Times New Roman"/>
          <w:b w:val="0"/>
        </w:rPr>
        <w:t>Kế toán, thuế là những lĩnh vực luôn luôn có sự thay đổi trong chế độ ghi chép và trích nộp. Để tránh những lỗi thời trong công tác kế toán và thuế, kế toán ở các doanh nghiệp cần cập nhật những thay đổi trong thời gian gần đây. Cụ thể:</w:t>
      </w:r>
    </w:p>
    <w:tbl>
      <w:tblPr>
        <w:tblW w:w="9384" w:type="pct"/>
        <w:tblCellSpacing w:w="0" w:type="dxa"/>
        <w:shd w:val="clear" w:color="auto" w:fill="FFFFFF"/>
        <w:tblCellMar>
          <w:left w:w="0" w:type="dxa"/>
          <w:right w:w="0" w:type="dxa"/>
        </w:tblCellMar>
        <w:tblLook w:val="04A0"/>
      </w:tblPr>
      <w:tblGrid>
        <w:gridCol w:w="9901"/>
        <w:gridCol w:w="7666"/>
      </w:tblGrid>
      <w:tr w:rsidR="006B060F" w:rsidRPr="008A77DE" w:rsidTr="006B060F">
        <w:trPr>
          <w:tblCellSpacing w:w="0" w:type="dxa"/>
        </w:trPr>
        <w:tc>
          <w:tcPr>
            <w:tcW w:w="2818" w:type="pct"/>
            <w:shd w:val="clear" w:color="auto" w:fill="FFFFFF"/>
            <w:hideMark/>
          </w:tcPr>
          <w:tbl>
            <w:tblPr>
              <w:tblW w:w="5000" w:type="pct"/>
              <w:tblCellSpacing w:w="0" w:type="dxa"/>
              <w:shd w:val="clear" w:color="auto" w:fill="FFFFFF"/>
              <w:tblCellMar>
                <w:left w:w="0" w:type="dxa"/>
                <w:right w:w="0" w:type="dxa"/>
              </w:tblCellMar>
              <w:tblLook w:val="04A0"/>
            </w:tblPr>
            <w:tblGrid>
              <w:gridCol w:w="396"/>
              <w:gridCol w:w="9505"/>
            </w:tblGrid>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01.</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5" w:tgtFrame="_blank" w:history="1">
                    <w:r w:rsidR="006B060F" w:rsidRPr="008A77DE">
                      <w:rPr>
                        <w:rStyle w:val="Strong"/>
                        <w:rFonts w:ascii="Times New Roman" w:hAnsi="Times New Roman" w:cs="Times New Roman"/>
                        <w:color w:val="000000" w:themeColor="text1"/>
                        <w:sz w:val="26"/>
                        <w:szCs w:val="26"/>
                      </w:rPr>
                      <w:t>Được sử dụng thông báo của cơ quan thuế để thay thế bảng kê nộp thuế</w:t>
                    </w:r>
                  </w:hyperlink>
                  <w:r w:rsidR="006B060F" w:rsidRPr="008A77DE">
                    <w:rPr>
                      <w:rFonts w:ascii="Times New Roman" w:hAnsi="Times New Roman" w:cs="Times New Roman"/>
                      <w:color w:val="000000" w:themeColor="text1"/>
                      <w:sz w:val="26"/>
                      <w:szCs w:val="26"/>
                    </w:rPr>
                    <w:br/>
                    <w:t>Tổng cục Thuế vừa ban hành công văn số 3276/TCT-KK giới thiệu nội dung mới của Thông tư số 84/2016/TT-BTC (84). Trong đó, có rất nhiều điểm mới nhằm chuẩn hóa các quy trình quản lý thu, nộp thuế điện tử. TBTCVN trích đăng một số nội dung, chủ yếu liên quan đến NNT.</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02.</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6" w:tgtFrame="_blank" w:history="1">
                    <w:r w:rsidR="006B060F" w:rsidRPr="008A77DE">
                      <w:rPr>
                        <w:rStyle w:val="Strong"/>
                        <w:rFonts w:ascii="Times New Roman" w:hAnsi="Times New Roman" w:cs="Times New Roman"/>
                        <w:color w:val="000000" w:themeColor="text1"/>
                        <w:sz w:val="26"/>
                        <w:szCs w:val="26"/>
                      </w:rPr>
                      <w:t>Cải cách hệ thống chính sách thuế: Đơn giản, đồng bộ, tạo thuận lợi cho người nộp thuế</w:t>
                    </w:r>
                  </w:hyperlink>
                  <w:r w:rsidR="006B060F" w:rsidRPr="008A77DE">
                    <w:rPr>
                      <w:rFonts w:ascii="Times New Roman" w:hAnsi="Times New Roman" w:cs="Times New Roman"/>
                      <w:color w:val="000000" w:themeColor="text1"/>
                      <w:sz w:val="26"/>
                      <w:szCs w:val="26"/>
                    </w:rPr>
                    <w:br/>
                    <w:t>Theo đánh giá của Ban Cải cách Tổng cục Thuế, qua 5 năm (2011 - 2015) triển khai thực hiện Kế hoạch cải cách hệ thống thuế, về cơ bản, hệ thống chính sách thuế đã được sửa đổi, bổ sung, hoàn thiện, bao quát cơ bản các nguồn thu cần điều tiết trong nền kinh tế; đảm bảo cân đối thu chi phục vụ cho sự nghiệp phát triển kinh tế, xã hội của đất nước.</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03.</w:t>
                  </w:r>
                </w:p>
              </w:tc>
              <w:tc>
                <w:tcPr>
                  <w:tcW w:w="4850" w:type="pct"/>
                  <w:shd w:val="clear" w:color="auto" w:fill="FFFFFF"/>
                  <w:hideMark/>
                </w:tcPr>
                <w:p w:rsidR="006B060F" w:rsidRPr="008A77DE" w:rsidRDefault="00141B84" w:rsidP="008A77DE">
                  <w:pPr>
                    <w:spacing w:before="60" w:after="60" w:line="360" w:lineRule="auto"/>
                    <w:rPr>
                      <w:rFonts w:ascii="Times New Roman" w:hAnsi="Times New Roman" w:cs="Times New Roman"/>
                      <w:color w:val="000000" w:themeColor="text1"/>
                      <w:sz w:val="26"/>
                      <w:szCs w:val="26"/>
                    </w:rPr>
                  </w:pPr>
                  <w:hyperlink r:id="rId7" w:tgtFrame="_blank" w:history="1">
                    <w:r w:rsidR="006B060F" w:rsidRPr="008A77DE">
                      <w:rPr>
                        <w:rStyle w:val="Strong"/>
                        <w:rFonts w:ascii="Times New Roman" w:hAnsi="Times New Roman" w:cs="Times New Roman"/>
                        <w:color w:val="000000" w:themeColor="text1"/>
                        <w:sz w:val="26"/>
                        <w:szCs w:val="26"/>
                      </w:rPr>
                      <w:t>G20 thúc giục siết chặt quy định thuế với các công ty đa quốc gia</w:t>
                    </w:r>
                  </w:hyperlink>
                </w:p>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Hội nghị bộ trưởng tài chính các nước G20 vừa kết thúc chiều 24/7 tại thành phố Thành đô, tỉnh Tứ Xuyên, Trung Quốc. Các nước nhóm G20 đã đề xuất tăng cường việc hợp tác chống chuyển giá, tránh thuế.</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04.</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8" w:tgtFrame="_blank" w:history="1">
                    <w:r w:rsidR="006B060F" w:rsidRPr="008A77DE">
                      <w:rPr>
                        <w:rStyle w:val="Strong"/>
                        <w:rFonts w:ascii="Times New Roman" w:hAnsi="Times New Roman" w:cs="Times New Roman"/>
                        <w:color w:val="000000" w:themeColor="text1"/>
                        <w:sz w:val="26"/>
                        <w:szCs w:val="26"/>
                      </w:rPr>
                      <w:t>Bãi bỏ, đơn giản hóa hàng chục thủ tục hành chính thuế</w:t>
                    </w:r>
                  </w:hyperlink>
                </w:p>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Ngành Thuế phấn đấu đến hết năm 2016 điện tử hóa 90% giao dịch thuế. Triển khai các chương trình hành động thực hiện các Nghị quyết 19, 35 và 36a của Chính phủ về cải cách thủ tục hành chính (TTHC) và hỗ trợ doanh nghiệp (DN)...</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lastRenderedPageBreak/>
                    <w:t>05.</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9" w:tgtFrame="_blank" w:history="1">
                    <w:r w:rsidR="006B060F" w:rsidRPr="008A77DE">
                      <w:rPr>
                        <w:rStyle w:val="Strong"/>
                        <w:rFonts w:ascii="Times New Roman" w:hAnsi="Times New Roman" w:cs="Times New Roman"/>
                        <w:color w:val="000000" w:themeColor="text1"/>
                        <w:sz w:val="26"/>
                        <w:szCs w:val="26"/>
                      </w:rPr>
                      <w:t>Những điểm mới của Luật sửa đổi, bổ sung Luật Quản lý thuế</w:t>
                    </w:r>
                  </w:hyperlink>
                </w:p>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Luật số 106/2016/QH13 sửa đổi, bổ sung Luật Thuế giá trị gia tăng, Luật Thuế tiêu thụ đặc biệt và Luật Quản lý thuế đã được Quốc hội khóa XIII thông qua ngày 6/4/2016 và có hiệu lực thi hành từ 1/7/2016.</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06.</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10" w:tgtFrame="_blank" w:history="1">
                    <w:r w:rsidR="006B060F" w:rsidRPr="008A77DE">
                      <w:rPr>
                        <w:rStyle w:val="Strong"/>
                        <w:rFonts w:ascii="Times New Roman" w:hAnsi="Times New Roman" w:cs="Times New Roman"/>
                        <w:color w:val="000000" w:themeColor="text1"/>
                        <w:sz w:val="26"/>
                        <w:szCs w:val="26"/>
                      </w:rPr>
                      <w:t>SeABank giảm phí thu thuế điện tử cho doanh nghiệp</w:t>
                    </w:r>
                  </w:hyperlink>
                </w:p>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Từ nay cho đến hết ngày 31/12/2016, Ngân hàng thương mại cổ phần Đông Nam Á (SeABank) triển khai ưu đãi giảm 50% phí dịch vụ thu thuế, bảo lãnh thuế xuất nhập khẩu bằng phương thức điện tử.</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07.</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11" w:tgtFrame="_blank" w:history="1">
                    <w:r w:rsidR="006B060F" w:rsidRPr="008A77DE">
                      <w:rPr>
                        <w:rStyle w:val="Strong"/>
                        <w:rFonts w:ascii="Times New Roman" w:hAnsi="Times New Roman" w:cs="Times New Roman"/>
                        <w:color w:val="000000" w:themeColor="text1"/>
                        <w:sz w:val="26"/>
                        <w:szCs w:val="26"/>
                      </w:rPr>
                      <w:t>Tổng cục Thuế triển khai chương trình hành động chống xói mòn cơ sở tính thuế</w:t>
                    </w:r>
                  </w:hyperlink>
                </w:p>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Bằng việc công bố Quyết định 1286/QĐ-TCT thành lập Ban chỉ đạo và các tổ giúp việc triển khai chương trình hành động chống xói mòn cơ sở cơ sở tính thuế và chuyển lợi nhuận (BEPS) ngày 21/7, Tổng cục Thuế đã cho thấy quyết tâm trong việc nâng cao tính minh bạch, công bằng, tăng cường hiệu lực và hiệu quả của hệ thống thuế.</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08.</w:t>
                  </w:r>
                </w:p>
              </w:tc>
              <w:tc>
                <w:tcPr>
                  <w:tcW w:w="4850" w:type="pct"/>
                  <w:shd w:val="clear" w:color="auto" w:fill="FFFFFF"/>
                  <w:hideMark/>
                </w:tcPr>
                <w:p w:rsidR="006B060F" w:rsidRPr="008A77DE" w:rsidRDefault="006B060F" w:rsidP="008A77DE">
                  <w:pPr>
                    <w:spacing w:before="60" w:after="60" w:line="360" w:lineRule="auto"/>
                    <w:jc w:val="both"/>
                    <w:rPr>
                      <w:rStyle w:val="Strong"/>
                      <w:rFonts w:ascii="Times New Roman" w:hAnsi="Times New Roman" w:cs="Times New Roman"/>
                      <w:color w:val="000000" w:themeColor="text1"/>
                      <w:sz w:val="26"/>
                      <w:szCs w:val="26"/>
                    </w:rPr>
                  </w:pPr>
                  <w:r w:rsidRPr="008A77DE">
                    <w:rPr>
                      <w:rStyle w:val="Strong"/>
                      <w:rFonts w:ascii="Times New Roman" w:hAnsi="Times New Roman" w:cs="Times New Roman"/>
                      <w:color w:val="000000" w:themeColor="text1"/>
                      <w:sz w:val="26"/>
                      <w:szCs w:val="26"/>
                    </w:rPr>
                    <w:t>Giám sát hồ sơ hoàn thuế giá trị gia tăng</w:t>
                  </w:r>
                </w:p>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Ngày 29/6/2016, Bộ Tài chính đã ban hành Thông tư số 99/2016/TT-BTC hướng dẫn về quản lý hoàn thuế giá trị gia tăng</w:t>
                  </w:r>
                </w:p>
              </w:tc>
            </w:tr>
          </w:tbl>
          <w:p w:rsidR="006B060F" w:rsidRPr="008A77DE" w:rsidRDefault="006B060F" w:rsidP="008A77DE">
            <w:pPr>
              <w:pStyle w:val="Heading1"/>
              <w:spacing w:before="60" w:beforeAutospacing="0" w:after="60" w:afterAutospacing="0" w:line="360" w:lineRule="auto"/>
              <w:rPr>
                <w:color w:val="000000" w:themeColor="text1"/>
              </w:rPr>
            </w:pPr>
          </w:p>
        </w:tc>
        <w:tc>
          <w:tcPr>
            <w:tcW w:w="2182" w:type="pct"/>
            <w:shd w:val="clear" w:color="auto" w:fill="FFFFFF"/>
            <w:hideMark/>
          </w:tcPr>
          <w:p w:rsidR="006B060F" w:rsidRPr="008A77DE" w:rsidRDefault="006B060F" w:rsidP="008A77DE">
            <w:pPr>
              <w:pStyle w:val="Heading1"/>
              <w:spacing w:before="60" w:beforeAutospacing="0" w:after="60" w:afterAutospacing="0" w:line="360" w:lineRule="auto"/>
              <w:rPr>
                <w:color w:val="000000" w:themeColor="text1"/>
              </w:rPr>
            </w:pPr>
          </w:p>
          <w:p w:rsidR="006B060F" w:rsidRPr="008A77DE" w:rsidRDefault="006B060F" w:rsidP="008A77DE">
            <w:pPr>
              <w:pStyle w:val="Heading1"/>
              <w:spacing w:before="60" w:beforeAutospacing="0" w:after="60" w:afterAutospacing="0" w:line="360" w:lineRule="auto"/>
              <w:rPr>
                <w:color w:val="000000" w:themeColor="text1"/>
              </w:rPr>
            </w:pPr>
          </w:p>
          <w:p w:rsidR="006B060F" w:rsidRPr="008A77DE" w:rsidRDefault="006B060F" w:rsidP="008A77DE">
            <w:pPr>
              <w:pStyle w:val="Heading1"/>
              <w:spacing w:before="60" w:beforeAutospacing="0" w:after="60" w:afterAutospacing="0" w:line="360" w:lineRule="auto"/>
              <w:rPr>
                <w:color w:val="000000" w:themeColor="text1"/>
              </w:rPr>
            </w:pPr>
          </w:p>
        </w:tc>
      </w:tr>
      <w:tr w:rsidR="006B060F" w:rsidRPr="008A77DE" w:rsidTr="006B060F">
        <w:trPr>
          <w:tblCellSpacing w:w="0" w:type="dxa"/>
        </w:trPr>
        <w:tc>
          <w:tcPr>
            <w:tcW w:w="2818" w:type="pct"/>
            <w:shd w:val="clear" w:color="auto" w:fill="FFFFFF"/>
            <w:hideMark/>
          </w:tcPr>
          <w:tbl>
            <w:tblPr>
              <w:tblW w:w="5000" w:type="pct"/>
              <w:tblCellSpacing w:w="0" w:type="dxa"/>
              <w:shd w:val="clear" w:color="auto" w:fill="FFFFFF"/>
              <w:tblCellMar>
                <w:left w:w="0" w:type="dxa"/>
                <w:right w:w="0" w:type="dxa"/>
              </w:tblCellMar>
              <w:tblLook w:val="04A0"/>
            </w:tblPr>
            <w:tblGrid>
              <w:gridCol w:w="396"/>
              <w:gridCol w:w="9505"/>
            </w:tblGrid>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lastRenderedPageBreak/>
                    <w:t>09.</w:t>
                  </w:r>
                </w:p>
              </w:tc>
              <w:tc>
                <w:tcPr>
                  <w:tcW w:w="4850" w:type="pct"/>
                  <w:shd w:val="clear" w:color="auto" w:fill="FFFFFF"/>
                  <w:hideMark/>
                </w:tcPr>
                <w:p w:rsidR="006B060F" w:rsidRPr="008A77DE" w:rsidRDefault="00141B84" w:rsidP="008A77DE">
                  <w:pPr>
                    <w:spacing w:before="60" w:after="60" w:line="360" w:lineRule="auto"/>
                    <w:rPr>
                      <w:rFonts w:ascii="Times New Roman" w:hAnsi="Times New Roman" w:cs="Times New Roman"/>
                      <w:color w:val="000000" w:themeColor="text1"/>
                      <w:sz w:val="26"/>
                      <w:szCs w:val="26"/>
                    </w:rPr>
                  </w:pPr>
                  <w:hyperlink r:id="rId12" w:tgtFrame="_blank" w:history="1">
                    <w:r w:rsidR="006B060F" w:rsidRPr="008A77DE">
                      <w:rPr>
                        <w:rStyle w:val="Strong"/>
                        <w:rFonts w:ascii="Times New Roman" w:hAnsi="Times New Roman" w:cs="Times New Roman"/>
                        <w:color w:val="000000" w:themeColor="text1"/>
                        <w:sz w:val="26"/>
                        <w:szCs w:val="26"/>
                      </w:rPr>
                      <w:t>Ngày 15 và 22/07/2016 là 2 đợt cập nhật các văn bản mới - văn bản hướng dẫn trong lĩnh vực Thuế trên ứng dụng VBPL.</w:t>
                    </w:r>
                    <w:r w:rsidR="006B060F" w:rsidRPr="008A77DE">
                      <w:rPr>
                        <w:rStyle w:val="apple-converted-space"/>
                        <w:rFonts w:ascii="Times New Roman" w:hAnsi="Times New Roman" w:cs="Times New Roman"/>
                        <w:b/>
                        <w:bCs/>
                        <w:color w:val="000000" w:themeColor="text1"/>
                        <w:sz w:val="26"/>
                        <w:szCs w:val="26"/>
                      </w:rPr>
                      <w:t> </w:t>
                    </w:r>
                  </w:hyperlink>
                  <w:r w:rsidR="006B060F" w:rsidRPr="008A77DE">
                    <w:rPr>
                      <w:rFonts w:ascii="Times New Roman" w:hAnsi="Times New Roman" w:cs="Times New Roman"/>
                      <w:color w:val="000000" w:themeColor="text1"/>
                      <w:sz w:val="26"/>
                      <w:szCs w:val="26"/>
                    </w:rPr>
                    <w:br/>
                    <w:t>Trong 02 đợt cập nhật này, có 22 văn bản hướng dẫn, danh sách các văn bản như sau</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10.</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13" w:tgtFrame="_blank" w:history="1">
                    <w:r w:rsidR="006B060F" w:rsidRPr="008A77DE">
                      <w:rPr>
                        <w:rStyle w:val="Strong"/>
                        <w:rFonts w:ascii="Times New Roman" w:hAnsi="Times New Roman" w:cs="Times New Roman"/>
                        <w:color w:val="000000" w:themeColor="text1"/>
                        <w:sz w:val="26"/>
                        <w:szCs w:val="26"/>
                      </w:rPr>
                      <w:t>Cơ quan thuế xác định số tiền thuế, tiền chậm nộp, tiền phạt và các khoản thu khác còn nợ ngân sách nhà nước để thực hiện bù trừ với số tiền thuế GTGT được hoàn của người nộp thuế. Tiền thuế nợ của người nộp thuế phải bù trừ bao gồm: tiền thuế nợ do ngành Thuế quản lý, cơ quan hải quan cung cấp, tiền thuế nợ Ngân sách nhà nước.</w:t>
                    </w:r>
                  </w:hyperlink>
                  <w:r w:rsidR="006B060F" w:rsidRPr="008A77DE">
                    <w:rPr>
                      <w:rFonts w:ascii="Times New Roman" w:hAnsi="Times New Roman" w:cs="Times New Roman"/>
                      <w:color w:val="000000" w:themeColor="text1"/>
                      <w:sz w:val="26"/>
                      <w:szCs w:val="26"/>
                    </w:rPr>
                    <w:br/>
                    <w:t>Thông tư 99/2016/TT-BTC có hiệu lực ngày 13/8/2016.</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11.</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14" w:tgtFrame="_blank" w:history="1">
                    <w:r w:rsidR="006B060F" w:rsidRPr="008A77DE">
                      <w:rPr>
                        <w:rStyle w:val="Strong"/>
                        <w:rFonts w:ascii="Times New Roman" w:hAnsi="Times New Roman" w:cs="Times New Roman"/>
                        <w:color w:val="000000" w:themeColor="text1"/>
                        <w:sz w:val="26"/>
                        <w:szCs w:val="26"/>
                      </w:rPr>
                      <w:t xml:space="preserve">Doanh nghiệp thuộc đối tượng được xem xét giảm tiền thuê đất, đã tạm nộp tiền thuê </w:t>
                    </w:r>
                    <w:r w:rsidR="006B060F" w:rsidRPr="008A77DE">
                      <w:rPr>
                        <w:rStyle w:val="Strong"/>
                        <w:rFonts w:ascii="Times New Roman" w:hAnsi="Times New Roman" w:cs="Times New Roman"/>
                        <w:color w:val="000000" w:themeColor="text1"/>
                        <w:sz w:val="26"/>
                        <w:szCs w:val="26"/>
                      </w:rPr>
                      <w:lastRenderedPageBreak/>
                      <w:t>đất bằng mức tiền thuê đất phải nộp nhưng sau khi xem xét doanh nghiệp không đủ điều kiện để được giảm tiền thuê đất thì doanh nghiệp phải nộp số còn thiếu và không bị phạt chậm nộp đối với số tiền thuê đất còn thiếu.</w:t>
                    </w:r>
                  </w:hyperlink>
                </w:p>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Hướng dẫn tại công văn 2821/TCT-CS ngày 23/06/2016 của Tổng cục Thuế.</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lastRenderedPageBreak/>
                    <w:t>12.</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15" w:tgtFrame="_blank" w:history="1">
                    <w:r w:rsidR="006B060F" w:rsidRPr="008A77DE">
                      <w:rPr>
                        <w:rStyle w:val="Strong"/>
                        <w:rFonts w:ascii="Times New Roman" w:hAnsi="Times New Roman" w:cs="Times New Roman"/>
                        <w:color w:val="000000" w:themeColor="text1"/>
                        <w:sz w:val="26"/>
                        <w:szCs w:val="26"/>
                      </w:rPr>
                      <w:t>Các đơn vị trực thuộc hạch toán phụ thuộc được doanh nghiệp ủy quyền, phân cấp ký hợp đồng với nhà thầu để thực hiện dự án đầu tư. Các đơn vị cần bổ sung vào điều khoản thanh toán khi ký hợp đồng với nhà thầu quy định rõ nguồn vốn và hình thức thanh toán do doanh nghiệp bố trí và thanh toán trực tiếp cho nhà thầu để các đơn vị trực thuộc thực hiện nghĩa vụ thuế đối với cơ quan thuế quản lý trực tiếp.</w:t>
                    </w:r>
                  </w:hyperlink>
                  <w:r w:rsidR="006B060F" w:rsidRPr="008A77DE">
                    <w:rPr>
                      <w:rFonts w:ascii="Times New Roman" w:hAnsi="Times New Roman" w:cs="Times New Roman"/>
                      <w:color w:val="000000" w:themeColor="text1"/>
                      <w:sz w:val="26"/>
                      <w:szCs w:val="26"/>
                    </w:rPr>
                    <w:br/>
                    <w:t>Hướng dẫn tại công văn 2834/TCT-DNL ngày 24/06/2016 của Tổng cục Thuế.</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13.</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16" w:tgtFrame="_blank" w:history="1">
                    <w:r w:rsidR="006B060F" w:rsidRPr="008A77DE">
                      <w:rPr>
                        <w:rStyle w:val="Strong"/>
                        <w:rFonts w:ascii="Times New Roman" w:hAnsi="Times New Roman" w:cs="Times New Roman"/>
                        <w:color w:val="000000" w:themeColor="text1"/>
                        <w:sz w:val="26"/>
                        <w:szCs w:val="26"/>
                      </w:rPr>
                      <w:t>Doanh nghiệp là nhà điều hành đối với hợp đồng dầu khí được ký kết dưới hình thức hợp đồng chia sản phẩm, thực hiện tổng hợp số liệu từ bảng tính và thông báo số liệu tính thuế do nhà thầu cung cấp, thực hiện kê khai thuế thay các bên nhà thầu.</w:t>
                    </w:r>
                  </w:hyperlink>
                  <w:r w:rsidR="006B060F" w:rsidRPr="008A77DE">
                    <w:rPr>
                      <w:rFonts w:ascii="Times New Roman" w:hAnsi="Times New Roman" w:cs="Times New Roman"/>
                      <w:color w:val="000000" w:themeColor="text1"/>
                      <w:sz w:val="26"/>
                      <w:szCs w:val="26"/>
                    </w:rPr>
                    <w:br/>
                    <w:t>Hướng dẫn tại công văn 2854/TCT-DNL ngày 24/06/2016 của Tổng cục Thuế.</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14.</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17" w:tgtFrame="_blank" w:history="1">
                    <w:r w:rsidR="006B060F" w:rsidRPr="008A77DE">
                      <w:rPr>
                        <w:rStyle w:val="Strong"/>
                        <w:rFonts w:ascii="Times New Roman" w:hAnsi="Times New Roman" w:cs="Times New Roman"/>
                        <w:color w:val="000000" w:themeColor="text1"/>
                        <w:sz w:val="26"/>
                        <w:szCs w:val="26"/>
                      </w:rPr>
                      <w:t>Doanh nghiệp được hưởng các khoản chi để thực hiện dịch vụ cho đơn vị khác thì khi nhận tiền, nếu nộp thuế GTGT theo phương pháp khấu trừ thì lập hóa đơn GTGT và tính thuế GTGT theo thuế suất 10%, trường hợp nộp thuế GTGT theo phương pháp trực tiếp thì sử dụng hóa đơn bán hàng và xác định số thuế phải nộp theo tỷ lệ (%) trên doanh thu.</w:t>
                    </w:r>
                  </w:hyperlink>
                </w:p>
                <w:p w:rsidR="006B060F" w:rsidRPr="008A77DE" w:rsidRDefault="006B060F" w:rsidP="008A77DE">
                  <w:pPr>
                    <w:spacing w:before="60" w:after="60" w:line="360" w:lineRule="auto"/>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Hướng dẫn tại công văn 47022/CT-HTr ngày 14/07/2016 của Cục thuế TP Hà Nội.</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15.</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18" w:tgtFrame="_blank" w:history="1">
                    <w:r w:rsidR="006B060F" w:rsidRPr="008A77DE">
                      <w:rPr>
                        <w:rStyle w:val="Strong"/>
                        <w:rFonts w:ascii="Times New Roman" w:hAnsi="Times New Roman" w:cs="Times New Roman"/>
                        <w:color w:val="000000" w:themeColor="text1"/>
                        <w:sz w:val="26"/>
                        <w:szCs w:val="26"/>
                      </w:rPr>
                      <w:t>Thu nhập từ hoạt động chuyển nhượng bất động sản là thu nhập khác, doanh nghiệp phải xác định riêng để kê khai nộp thuế và không được chuyển lỗ vào thu nhập kinh doanh, không được áp dụng ưu đãi thuế TNDN.</w:t>
                    </w:r>
                  </w:hyperlink>
                </w:p>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Hướng dẫn tại công văn 45537/CT-HTr ngày 07/07/2016 của Cục thuế TP Hà Nội.</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16.</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19" w:tgtFrame="_blank" w:history="1">
                    <w:r w:rsidR="006B060F" w:rsidRPr="008A77DE">
                      <w:rPr>
                        <w:rStyle w:val="Strong"/>
                        <w:rFonts w:ascii="Times New Roman" w:hAnsi="Times New Roman" w:cs="Times New Roman"/>
                        <w:color w:val="000000" w:themeColor="text1"/>
                        <w:sz w:val="26"/>
                        <w:szCs w:val="26"/>
                      </w:rPr>
                      <w:t xml:space="preserve">Doanh nghiệp được góp vốn bởi các nhà đầu tư là cá nhân không cư trú, khi có phát sinh hoạt động chuyển nhượng vốn thì thuế TNCN của cá nhân không cư trú được xác định bằng tổng số tiền mà cá nhân nhận được từ việc chuyển nhượng phần vốn </w:t>
                    </w:r>
                    <w:r w:rsidR="006B060F" w:rsidRPr="008A77DE">
                      <w:rPr>
                        <w:rStyle w:val="Strong"/>
                        <w:rFonts w:ascii="Times New Roman" w:hAnsi="Times New Roman" w:cs="Times New Roman"/>
                        <w:color w:val="000000" w:themeColor="text1"/>
                        <w:sz w:val="26"/>
                        <w:szCs w:val="26"/>
                      </w:rPr>
                      <w:lastRenderedPageBreak/>
                      <w:t>tại các tổ chức, cá nhân Việt Nam nhân với thuế suất 0,1%.</w:t>
                    </w:r>
                  </w:hyperlink>
                </w:p>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Hướng dẫn tại công văn 45684/CT-HTr ngày 08/07/2016 của Cục thuế TP Hà Nội.</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lastRenderedPageBreak/>
                    <w:t>17.</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20" w:tgtFrame="_blank" w:history="1">
                    <w:r w:rsidR="006B060F" w:rsidRPr="008A77DE">
                      <w:rPr>
                        <w:rStyle w:val="Strong"/>
                        <w:rFonts w:ascii="Times New Roman" w:hAnsi="Times New Roman" w:cs="Times New Roman"/>
                        <w:color w:val="000000" w:themeColor="text1"/>
                        <w:sz w:val="26"/>
                        <w:szCs w:val="26"/>
                      </w:rPr>
                      <w:t>Doanh nghiệp là chủ đầu tư dự án thành lập doanh nghiệp mới, sau khi hoàn thành và hoàn tất các thủ tục về đăng ký kinh doanh, đăng ký nộp thuế thì tổng hợp số thuế GTGT phát sinh, đã hoàn, chưa được hoàn của dự án để bàn giao cho doanh nghiệp mới, thực hiện kê khai, nộp thuế và đề nghị hoàn thuế GTGT.</w:t>
                    </w:r>
                  </w:hyperlink>
                </w:p>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Hướng dẫn tại công văn 45540/CT-HTr ngày 07/07/2016 của Cục thuế TP Hà Nội.</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18.</w:t>
                  </w:r>
                </w:p>
              </w:tc>
              <w:tc>
                <w:tcPr>
                  <w:tcW w:w="4850" w:type="pct"/>
                  <w:shd w:val="clear" w:color="auto" w:fill="FFFFFF"/>
                  <w:hideMark/>
                </w:tcPr>
                <w:p w:rsidR="006B060F" w:rsidRPr="008A77DE" w:rsidRDefault="00141B84" w:rsidP="008A77DE">
                  <w:pPr>
                    <w:spacing w:before="60" w:after="60" w:line="360" w:lineRule="auto"/>
                    <w:jc w:val="both"/>
                    <w:rPr>
                      <w:rFonts w:ascii="Times New Roman" w:hAnsi="Times New Roman" w:cs="Times New Roman"/>
                      <w:color w:val="000000" w:themeColor="text1"/>
                      <w:sz w:val="26"/>
                      <w:szCs w:val="26"/>
                    </w:rPr>
                  </w:pPr>
                  <w:hyperlink r:id="rId21" w:tgtFrame="_blank" w:history="1">
                    <w:r w:rsidR="006B060F" w:rsidRPr="008A77DE">
                      <w:rPr>
                        <w:rStyle w:val="Strong"/>
                        <w:rFonts w:ascii="Times New Roman" w:hAnsi="Times New Roman" w:cs="Times New Roman"/>
                        <w:color w:val="000000" w:themeColor="text1"/>
                        <w:sz w:val="26"/>
                        <w:szCs w:val="26"/>
                      </w:rPr>
                      <w:t>Cá nhân nộp hồ sơ quyết toán thuế TNCN, nhận được thông báo về sự chênh lệch số liệu giữa cơ quan Thuế và tờ khai quyết toán trong quyết toán thuế đã nộp, cá nhân thực hiện kê khai bổ sung hồ sơ quyết toán thuế thì không bị xử phạt về hành vi khai sai.</w:t>
                    </w:r>
                  </w:hyperlink>
                  <w:r w:rsidR="006B060F" w:rsidRPr="008A77DE">
                    <w:rPr>
                      <w:rFonts w:ascii="Times New Roman" w:hAnsi="Times New Roman" w:cs="Times New Roman"/>
                      <w:color w:val="000000" w:themeColor="text1"/>
                      <w:sz w:val="26"/>
                      <w:szCs w:val="26"/>
                    </w:rPr>
                    <w:br/>
                    <w:t>Hướng dẫn tại công văn 3017/TCT-DNL ngày 05/07/2016 của Tổng cục Thuế.</w:t>
                  </w:r>
                </w:p>
              </w:tc>
            </w:tr>
            <w:tr w:rsidR="006B060F" w:rsidRPr="008A77DE" w:rsidTr="0051737D">
              <w:trPr>
                <w:tblCellSpacing w:w="0" w:type="dxa"/>
              </w:trPr>
              <w:tc>
                <w:tcPr>
                  <w:tcW w:w="200"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r w:rsidRPr="008A77DE">
                    <w:rPr>
                      <w:rFonts w:ascii="Times New Roman" w:hAnsi="Times New Roman" w:cs="Times New Roman"/>
                      <w:color w:val="000000" w:themeColor="text1"/>
                      <w:sz w:val="26"/>
                      <w:szCs w:val="26"/>
                    </w:rPr>
                    <w:t>19.</w:t>
                  </w:r>
                </w:p>
              </w:tc>
              <w:tc>
                <w:tcPr>
                  <w:tcW w:w="4850" w:type="pct"/>
                  <w:shd w:val="clear" w:color="auto" w:fill="FFFFFF"/>
                  <w:hideMark/>
                </w:tcPr>
                <w:p w:rsidR="006B060F" w:rsidRPr="008A77DE" w:rsidRDefault="006B060F" w:rsidP="008A77DE">
                  <w:pPr>
                    <w:spacing w:before="60" w:after="60" w:line="360" w:lineRule="auto"/>
                    <w:rPr>
                      <w:rFonts w:ascii="Times New Roman" w:hAnsi="Times New Roman" w:cs="Times New Roman"/>
                      <w:color w:val="000000" w:themeColor="text1"/>
                      <w:sz w:val="26"/>
                      <w:szCs w:val="26"/>
                    </w:rPr>
                  </w:pPr>
                  <w:r w:rsidRPr="008A77DE">
                    <w:rPr>
                      <w:rStyle w:val="Strong"/>
                      <w:rFonts w:ascii="Times New Roman" w:hAnsi="Times New Roman" w:cs="Times New Roman"/>
                      <w:color w:val="000000" w:themeColor="text1"/>
                      <w:sz w:val="26"/>
                      <w:szCs w:val="26"/>
                    </w:rPr>
                    <w:t>Cơ sở sản xuất sản phẩm chịu thuế TTĐB khi tiêu thụ phải thực hiện tính, kê khai và nộp thuế TTĐB theo giá bán ra của doanh nghiệp bao tiêu sản phẩm nhưng không được thấp hơn 7% so với giá bán bình quân trong tháng của cùng loại sản phẩm do các cơ sở kinh doanh thương mại bán ra.</w:t>
                  </w:r>
                  <w:r w:rsidRPr="008A77DE">
                    <w:rPr>
                      <w:rStyle w:val="apple-converted-space"/>
                      <w:rFonts w:ascii="Times New Roman" w:hAnsi="Times New Roman" w:cs="Times New Roman"/>
                      <w:b/>
                      <w:bCs/>
                      <w:color w:val="000000" w:themeColor="text1"/>
                      <w:sz w:val="26"/>
                      <w:szCs w:val="26"/>
                    </w:rPr>
                    <w:t> </w:t>
                  </w:r>
                  <w:r w:rsidRPr="008A77DE">
                    <w:rPr>
                      <w:rFonts w:ascii="Times New Roman" w:hAnsi="Times New Roman" w:cs="Times New Roman"/>
                      <w:color w:val="000000" w:themeColor="text1"/>
                      <w:sz w:val="26"/>
                      <w:szCs w:val="26"/>
                    </w:rPr>
                    <w:br/>
                    <w:t>Hướng dẫn tại công văn 3017/TCT-DNL ngày 05/07/2016 của Tổng cục Thuế.</w:t>
                  </w:r>
                </w:p>
              </w:tc>
            </w:tr>
          </w:tbl>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p>
        </w:tc>
        <w:tc>
          <w:tcPr>
            <w:tcW w:w="2182" w:type="pct"/>
            <w:shd w:val="clear" w:color="auto" w:fill="FFFFFF"/>
            <w:hideMark/>
          </w:tcPr>
          <w:p w:rsidR="006B060F" w:rsidRPr="008A77DE" w:rsidRDefault="006B060F" w:rsidP="008A77DE">
            <w:pPr>
              <w:spacing w:before="60" w:after="60" w:line="360" w:lineRule="auto"/>
              <w:jc w:val="both"/>
              <w:rPr>
                <w:rFonts w:ascii="Times New Roman" w:hAnsi="Times New Roman" w:cs="Times New Roman"/>
                <w:color w:val="000000" w:themeColor="text1"/>
                <w:sz w:val="26"/>
                <w:szCs w:val="26"/>
              </w:rPr>
            </w:pPr>
          </w:p>
        </w:tc>
      </w:tr>
    </w:tbl>
    <w:p w:rsidR="00616B9C" w:rsidRPr="008A77DE" w:rsidRDefault="00616B9C" w:rsidP="008A77DE">
      <w:pPr>
        <w:pStyle w:val="Heading3"/>
        <w:spacing w:before="60" w:after="60"/>
        <w:jc w:val="both"/>
        <w:rPr>
          <w:rFonts w:cs="Times New Roman"/>
          <w:b w:val="0"/>
          <w:color w:val="000000" w:themeColor="text1"/>
        </w:rPr>
      </w:pPr>
    </w:p>
    <w:p w:rsidR="00FA43C6" w:rsidRPr="008A77DE" w:rsidRDefault="00FA43C6" w:rsidP="008A77DE">
      <w:pPr>
        <w:pStyle w:val="Heading3"/>
        <w:spacing w:before="60" w:after="60"/>
        <w:jc w:val="both"/>
        <w:rPr>
          <w:rFonts w:cs="Times New Roman"/>
          <w:b w:val="0"/>
          <w:color w:val="000000" w:themeColor="text1"/>
        </w:rPr>
      </w:pPr>
    </w:p>
    <w:p w:rsidR="00FA43C6" w:rsidRPr="008A77DE" w:rsidRDefault="00FA43C6" w:rsidP="008A77DE">
      <w:pPr>
        <w:pStyle w:val="Heading3"/>
        <w:spacing w:before="60" w:after="60"/>
        <w:jc w:val="both"/>
        <w:rPr>
          <w:rFonts w:cs="Times New Roman"/>
          <w:b w:val="0"/>
          <w:color w:val="000000" w:themeColor="text1"/>
        </w:rPr>
      </w:pPr>
    </w:p>
    <w:sectPr w:rsidR="00FA43C6" w:rsidRPr="008A77DE"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63D7"/>
    <w:rsid w:val="00141B84"/>
    <w:rsid w:val="004122E2"/>
    <w:rsid w:val="004C547B"/>
    <w:rsid w:val="00616B9C"/>
    <w:rsid w:val="006319DE"/>
    <w:rsid w:val="006B060F"/>
    <w:rsid w:val="007F3B4A"/>
    <w:rsid w:val="008A77DE"/>
    <w:rsid w:val="008F3D81"/>
    <w:rsid w:val="00B563D7"/>
    <w:rsid w:val="00CC3107"/>
    <w:rsid w:val="00DE7453"/>
    <w:rsid w:val="00FA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FA43C6"/>
    <w:pPr>
      <w:spacing w:before="60" w:after="60" w:line="360" w:lineRule="auto"/>
      <w:ind w:left="576"/>
      <w:jc w:val="center"/>
      <w:outlineLvl w:val="1"/>
    </w:pPr>
    <w:rPr>
      <w:rFonts w:ascii="Times New Roman" w:eastAsia="Times New Roman" w:hAnsi="Times New Roman" w:cs="Times New Roman"/>
      <w:b/>
      <w:bCs/>
      <w:sz w:val="26"/>
      <w:szCs w:val="26"/>
      <w:bdr w:val="none" w:sz="0" w:space="0" w:color="auto" w:frame="1"/>
    </w:rPr>
  </w:style>
  <w:style w:type="paragraph" w:styleId="Heading3">
    <w:name w:val="heading 3"/>
    <w:basedOn w:val="Normal"/>
    <w:next w:val="Normal"/>
    <w:link w:val="Heading3Char"/>
    <w:autoRedefine/>
    <w:qFormat/>
    <w:rsid w:val="004122E2"/>
    <w:pPr>
      <w:keepNext/>
      <w:spacing w:before="120" w:after="0" w:line="360" w:lineRule="auto"/>
      <w:ind w:firstLine="720"/>
      <w:outlineLvl w:val="2"/>
    </w:pPr>
    <w:rPr>
      <w:rFonts w:ascii="Times New Roman" w:eastAsia="Times New Roman" w:hAnsi="Times New Roman" w:cs="Arial"/>
      <w:b/>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FA43C6"/>
    <w:rPr>
      <w:rFonts w:ascii="Times New Roman" w:eastAsia="Times New Roman" w:hAnsi="Times New Roman" w:cs="Times New Roman"/>
      <w:b/>
      <w:bCs/>
      <w:sz w:val="26"/>
      <w:szCs w:val="26"/>
      <w:bdr w:val="none" w:sz="0" w:space="0" w:color="auto" w:frame="1"/>
    </w:rPr>
  </w:style>
  <w:style w:type="character" w:customStyle="1" w:styleId="Heading3Char">
    <w:name w:val="Heading 3 Char"/>
    <w:basedOn w:val="DefaultParagraphFont"/>
    <w:link w:val="Heading3"/>
    <w:rsid w:val="004122E2"/>
    <w:rPr>
      <w:rFonts w:ascii="Times New Roman" w:eastAsia="Times New Roman" w:hAnsi="Times New Roman" w:cs="Arial"/>
      <w:b/>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semiHidden/>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s>
</file>

<file path=word/webSettings.xml><?xml version="1.0" encoding="utf-8"?>
<w:webSettings xmlns:r="http://schemas.openxmlformats.org/officeDocument/2006/relationships" xmlns:w="http://schemas.openxmlformats.org/wordprocessingml/2006/main">
  <w:divs>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s.ts24.com.vn/ems/link.php?M=1175302&amp;N=1475&amp;L=3430&amp;F=H" TargetMode="External"/><Relationship Id="rId13" Type="http://schemas.openxmlformats.org/officeDocument/2006/relationships/hyperlink" Target="http://ems.ts24.com.vn/ems/link.php?M=1175302&amp;N=1475&amp;L=3437&amp;F=H" TargetMode="External"/><Relationship Id="rId18" Type="http://schemas.openxmlformats.org/officeDocument/2006/relationships/hyperlink" Target="http://ems.ts24.com.vn/ems/link.php?M=1175302&amp;N=1475&amp;L=3429&amp;F=H" TargetMode="External"/><Relationship Id="rId3" Type="http://schemas.openxmlformats.org/officeDocument/2006/relationships/settings" Target="settings.xml"/><Relationship Id="rId21" Type="http://schemas.openxmlformats.org/officeDocument/2006/relationships/hyperlink" Target="http://ems.ts24.com.vn/ems/link.php?M=1175302&amp;N=1475&amp;L=3442&amp;F=H" TargetMode="External"/><Relationship Id="rId7" Type="http://schemas.openxmlformats.org/officeDocument/2006/relationships/hyperlink" Target="http://ems.ts24.com.vn/ems/link.php?M=1175302&amp;N=1475&amp;L=3439&amp;F=H" TargetMode="External"/><Relationship Id="rId12" Type="http://schemas.openxmlformats.org/officeDocument/2006/relationships/hyperlink" Target="http://ems.ts24.com.vn/ems/link.php?M=1175302&amp;N=1475&amp;L=3428&amp;F=H" TargetMode="External"/><Relationship Id="rId17" Type="http://schemas.openxmlformats.org/officeDocument/2006/relationships/hyperlink" Target="http://ems.ts24.com.vn/ems/link.php?M=1175302&amp;N=1475&amp;L=3427&amp;F=H" TargetMode="External"/><Relationship Id="rId2" Type="http://schemas.openxmlformats.org/officeDocument/2006/relationships/styles" Target="styles.xml"/><Relationship Id="rId16" Type="http://schemas.openxmlformats.org/officeDocument/2006/relationships/hyperlink" Target="http://ems.ts24.com.vn/ems/link.php?M=1175302&amp;N=1475&amp;L=3440&amp;F=H" TargetMode="External"/><Relationship Id="rId20" Type="http://schemas.openxmlformats.org/officeDocument/2006/relationships/hyperlink" Target="http://ems.ts24.com.vn/ems/link.php?M=1175302&amp;N=1475&amp;L=3426&amp;F=H" TargetMode="External"/><Relationship Id="rId1" Type="http://schemas.openxmlformats.org/officeDocument/2006/relationships/numbering" Target="numbering.xml"/><Relationship Id="rId6" Type="http://schemas.openxmlformats.org/officeDocument/2006/relationships/hyperlink" Target="http://ems.ts24.com.vn/ems/link.php?M=1175302&amp;N=1475&amp;L=3431&amp;F=H" TargetMode="External"/><Relationship Id="rId11" Type="http://schemas.openxmlformats.org/officeDocument/2006/relationships/hyperlink" Target="http://ems.ts24.com.vn/ems/link.php?M=1175302&amp;N=1475&amp;L=3425&amp;F=H" TargetMode="External"/><Relationship Id="rId5" Type="http://schemas.openxmlformats.org/officeDocument/2006/relationships/hyperlink" Target="http://ems.ts24.com.vn/ems/link.php?M=1175302&amp;N=1475&amp;L=3435&amp;F=H" TargetMode="External"/><Relationship Id="rId15" Type="http://schemas.openxmlformats.org/officeDocument/2006/relationships/hyperlink" Target="http://ems.ts24.com.vn/ems/link.php?M=1175302&amp;N=1475&amp;L=3434&amp;F=H" TargetMode="External"/><Relationship Id="rId23" Type="http://schemas.openxmlformats.org/officeDocument/2006/relationships/theme" Target="theme/theme1.xml"/><Relationship Id="rId10" Type="http://schemas.openxmlformats.org/officeDocument/2006/relationships/hyperlink" Target="http://ems.ts24.com.vn/ems/link.php?M=1175302&amp;N=1475&amp;L=3432&amp;F=H" TargetMode="External"/><Relationship Id="rId19" Type="http://schemas.openxmlformats.org/officeDocument/2006/relationships/hyperlink" Target="http://ems.ts24.com.vn/ems/link.php?M=1175302&amp;N=1475&amp;L=3436&amp;F=H" TargetMode="External"/><Relationship Id="rId4" Type="http://schemas.openxmlformats.org/officeDocument/2006/relationships/webSettings" Target="webSettings.xml"/><Relationship Id="rId9" Type="http://schemas.openxmlformats.org/officeDocument/2006/relationships/hyperlink" Target="http://ems.ts24.com.vn/ems/link.php?M=1175302&amp;N=1475&amp;L=3433&amp;F=H" TargetMode="External"/><Relationship Id="rId14" Type="http://schemas.openxmlformats.org/officeDocument/2006/relationships/hyperlink" Target="http://ems.ts24.com.vn/ems/link.php?M=1175302&amp;N=1475&amp;L=3438&amp;F=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5</cp:revision>
  <dcterms:created xsi:type="dcterms:W3CDTF">2016-06-16T02:00:00Z</dcterms:created>
  <dcterms:modified xsi:type="dcterms:W3CDTF">2016-08-13T01:34:00Z</dcterms:modified>
</cp:coreProperties>
</file>