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D7" w:rsidRPr="00911A71" w:rsidRDefault="00DE7453" w:rsidP="00911A71">
      <w:pPr>
        <w:pStyle w:val="Heading2"/>
      </w:pPr>
      <w:r w:rsidRPr="00911A71">
        <w:t>NHỮNG</w:t>
      </w:r>
      <w:r w:rsidR="004122E2" w:rsidRPr="00911A71">
        <w:t xml:space="preserve"> THAY ĐỔI VỀ CHẾ ĐỘ KẾ TOÁN, THUẾ THEO HỆ THỐNG VĂN BẢN MỚI</w:t>
      </w:r>
      <w:r w:rsidR="00377962" w:rsidRPr="00911A71">
        <w:t xml:space="preserve"> CẬP NHẬT ĐẾN THÁNG 9</w:t>
      </w:r>
      <w:r w:rsidR="006B060F" w:rsidRPr="00911A71">
        <w:t>-2016</w:t>
      </w:r>
    </w:p>
    <w:p w:rsidR="00FA43C6" w:rsidRPr="00911A71" w:rsidRDefault="00FA43C6" w:rsidP="00911A71">
      <w:pPr>
        <w:pStyle w:val="Heading2"/>
      </w:pPr>
    </w:p>
    <w:p w:rsidR="00B563D7" w:rsidRPr="00911A71" w:rsidRDefault="00FA43C6" w:rsidP="00911A71">
      <w:pPr>
        <w:pStyle w:val="Heading2"/>
      </w:pPr>
      <w:r w:rsidRPr="00911A71">
        <w:t xml:space="preserve">                                                                  </w:t>
      </w:r>
      <w:r w:rsidR="00B563D7" w:rsidRPr="00911A71">
        <w:t>Giảng viên: Nguyễn Thị Kim Hương</w:t>
      </w:r>
    </w:p>
    <w:p w:rsidR="004122E2" w:rsidRPr="00911A71" w:rsidRDefault="004122E2" w:rsidP="00911A71">
      <w:pPr>
        <w:pStyle w:val="Heading3"/>
        <w:spacing w:line="300" w:lineRule="atLeast"/>
        <w:jc w:val="left"/>
      </w:pPr>
      <w:proofErr w:type="gramStart"/>
      <w:r w:rsidRPr="00911A71">
        <w:t>Kế toán, thuế là những lĩnh vực luôn luôn có sự thay đổi trong chế độ ghi chép và trích nộp.</w:t>
      </w:r>
      <w:proofErr w:type="gramEnd"/>
      <w:r w:rsidRPr="00911A71">
        <w:t xml:space="preserve"> </w:t>
      </w:r>
      <w:proofErr w:type="gramStart"/>
      <w:r w:rsidRPr="00911A71">
        <w:t xml:space="preserve">Để tránh những lỗi thời trong công tác kế toán và thuế, kế toán ở các doanh nghiệp cần cập nhật những thay đổi </w:t>
      </w:r>
      <w:r w:rsidR="00377962" w:rsidRPr="00911A71">
        <w:t>tính đến tháng 9 năm 2016</w:t>
      </w:r>
      <w:r w:rsidRPr="00911A71">
        <w:t>.</w:t>
      </w:r>
      <w:proofErr w:type="gramEnd"/>
      <w:r w:rsidRPr="00911A71">
        <w:t xml:space="preserve"> Cụ thể:</w:t>
      </w:r>
    </w:p>
    <w:tbl>
      <w:tblPr>
        <w:tblW w:w="5000" w:type="pct"/>
        <w:tblCellSpacing w:w="0" w:type="dxa"/>
        <w:shd w:val="clear" w:color="auto" w:fill="FFFFFF"/>
        <w:tblCellMar>
          <w:left w:w="0" w:type="dxa"/>
          <w:right w:w="0" w:type="dxa"/>
        </w:tblCellMar>
        <w:tblLook w:val="04A0"/>
      </w:tblPr>
      <w:tblGrid>
        <w:gridCol w:w="9360"/>
      </w:tblGrid>
      <w:tr w:rsidR="00B736FA" w:rsidRPr="00B736FA" w:rsidTr="00B736FA">
        <w:trPr>
          <w:tblCellSpacing w:w="0" w:type="dxa"/>
        </w:trPr>
        <w:tc>
          <w:tcPr>
            <w:tcW w:w="5000" w:type="pct"/>
            <w:shd w:val="clear" w:color="auto" w:fill="FFFFFF"/>
            <w:hideMark/>
          </w:tcPr>
          <w:p w:rsidR="00B736FA" w:rsidRPr="00B736FA" w:rsidRDefault="00B736FA" w:rsidP="00911A71">
            <w:pPr>
              <w:spacing w:after="0" w:line="300" w:lineRule="atLeast"/>
              <w:rPr>
                <w:rFonts w:ascii="Times New Roman" w:eastAsia="Times New Roman" w:hAnsi="Times New Roman" w:cs="Times New Roman"/>
                <w:sz w:val="26"/>
                <w:szCs w:val="26"/>
              </w:rPr>
            </w:pPr>
            <w:hyperlink r:id="rId5" w:tgtFrame="_blank" w:history="1">
              <w:r w:rsidRPr="00B736FA">
                <w:rPr>
                  <w:rFonts w:ascii="Times New Roman" w:eastAsia="Times New Roman" w:hAnsi="Times New Roman" w:cs="Times New Roman"/>
                  <w:bCs/>
                  <w:sz w:val="26"/>
                  <w:szCs w:val="26"/>
                </w:rPr>
                <w:br/>
              </w:r>
              <w:r w:rsidRPr="00911A71">
                <w:rPr>
                  <w:rFonts w:ascii="Times New Roman" w:eastAsia="Times New Roman" w:hAnsi="Times New Roman" w:cs="Times New Roman"/>
                  <w:bCs/>
                  <w:sz w:val="26"/>
                  <w:szCs w:val="26"/>
                </w:rPr>
                <w:t>Ngày 12 và 19/08/2016 là 2 đợt cập nhật các văn bản mới - văn bản hướng dẫn trong lĩnh vực Thuế trên ứng dụng VBPL.</w:t>
              </w:r>
            </w:hyperlink>
            <w:r w:rsidRPr="00B736FA">
              <w:rPr>
                <w:rFonts w:ascii="Times New Roman" w:eastAsia="Times New Roman" w:hAnsi="Times New Roman" w:cs="Times New Roman"/>
                <w:sz w:val="26"/>
                <w:szCs w:val="26"/>
              </w:rPr>
              <w:br/>
              <w:t>Trong 02 đợt cập nhật này, có 36 văn bản hướng dẫn, danh sách các văn bản như sau:</w:t>
            </w:r>
          </w:p>
        </w:tc>
      </w:tr>
      <w:tr w:rsidR="00B736FA" w:rsidRPr="00B736FA" w:rsidTr="00B736FA">
        <w:trPr>
          <w:tblCellSpacing w:w="0" w:type="dxa"/>
        </w:trPr>
        <w:tc>
          <w:tcPr>
            <w:tcW w:w="5000" w:type="pct"/>
            <w:shd w:val="clear" w:color="auto" w:fill="FFFFFF"/>
            <w:hideMark/>
          </w:tcPr>
          <w:p w:rsidR="00B736FA" w:rsidRPr="00B736FA" w:rsidRDefault="00B736FA" w:rsidP="00911A71">
            <w:pPr>
              <w:spacing w:after="0" w:line="300" w:lineRule="atLeast"/>
              <w:rPr>
                <w:rFonts w:ascii="Times New Roman" w:eastAsia="Times New Roman" w:hAnsi="Times New Roman" w:cs="Times New Roman"/>
                <w:sz w:val="26"/>
                <w:szCs w:val="26"/>
              </w:rPr>
            </w:pPr>
            <w:hyperlink r:id="rId6" w:tgtFrame="_blank" w:history="1">
              <w:r w:rsidRPr="00B736FA">
                <w:rPr>
                  <w:rFonts w:ascii="Times New Roman" w:eastAsia="Times New Roman" w:hAnsi="Times New Roman" w:cs="Times New Roman"/>
                  <w:bCs/>
                  <w:sz w:val="26"/>
                  <w:szCs w:val="26"/>
                </w:rPr>
                <w:br/>
              </w:r>
              <w:r w:rsidRPr="00911A71">
                <w:rPr>
                  <w:rFonts w:ascii="Times New Roman" w:eastAsia="Times New Roman" w:hAnsi="Times New Roman" w:cs="Times New Roman"/>
                  <w:bCs/>
                  <w:sz w:val="26"/>
                  <w:szCs w:val="26"/>
                </w:rPr>
                <w:t>Doanh nghiệp cung cấp cho doanh nghiệp nước ngoài các dịch vụ mang tính chất là các hoạt động chuẩn bị hoặc phụ trợ và thực tế doanh nghiệp nước ngoài không trực tiếp thực hiện hoạt động kinh doanh bán hàng hóa tại Việt Nam, thì đối với hoạt động cung cấp dịch vụ của doanh nghiệp là dịch vụ xuất khẩu, được áp dụng thuế suất thuế GTGT 0%.</w:t>
              </w:r>
            </w:hyperlink>
            <w:r w:rsidRPr="00B736FA">
              <w:rPr>
                <w:rFonts w:ascii="Times New Roman" w:eastAsia="Times New Roman" w:hAnsi="Times New Roman" w:cs="Times New Roman"/>
                <w:sz w:val="26"/>
                <w:szCs w:val="26"/>
              </w:rPr>
              <w:br/>
              <w:t>Hướng dẫn tại công văn 3426/TCT-HTQT ngày 02/08/2016 của Tổng cục Thuế.</w:t>
            </w:r>
          </w:p>
        </w:tc>
      </w:tr>
      <w:tr w:rsidR="00B736FA" w:rsidRPr="00B736FA" w:rsidTr="00B736FA">
        <w:trPr>
          <w:tblCellSpacing w:w="0" w:type="dxa"/>
        </w:trPr>
        <w:tc>
          <w:tcPr>
            <w:tcW w:w="5000" w:type="pct"/>
            <w:shd w:val="clear" w:color="auto" w:fill="FFFFFF"/>
            <w:hideMark/>
          </w:tcPr>
          <w:p w:rsidR="00B736FA" w:rsidRPr="00B736FA" w:rsidRDefault="00B736FA" w:rsidP="00911A71">
            <w:pPr>
              <w:spacing w:after="0" w:line="300" w:lineRule="atLeast"/>
              <w:rPr>
                <w:rFonts w:ascii="Times New Roman" w:eastAsia="Times New Roman" w:hAnsi="Times New Roman" w:cs="Times New Roman"/>
                <w:sz w:val="26"/>
                <w:szCs w:val="26"/>
              </w:rPr>
            </w:pPr>
            <w:hyperlink r:id="rId7" w:tgtFrame="_blank" w:history="1">
              <w:r w:rsidRPr="00B736FA">
                <w:rPr>
                  <w:rFonts w:ascii="Times New Roman" w:eastAsia="Times New Roman" w:hAnsi="Times New Roman" w:cs="Times New Roman"/>
                  <w:bCs/>
                  <w:sz w:val="26"/>
                  <w:szCs w:val="26"/>
                </w:rPr>
                <w:br/>
              </w:r>
              <w:r w:rsidRPr="00911A71">
                <w:rPr>
                  <w:rFonts w:ascii="Times New Roman" w:eastAsia="Times New Roman" w:hAnsi="Times New Roman" w:cs="Times New Roman"/>
                  <w:bCs/>
                  <w:sz w:val="26"/>
                  <w:szCs w:val="26"/>
                </w:rPr>
                <w:t>Cá nhân nộp thuế khoán trong năm, không có thay đổi về ngành nghề kinh doanh so với ngành nghề đã được cơ quan thuế khoán thuế thì chỉ điều chỉnh doanh thu khoán khi xác định doanh thu tính thuế thay đổi từ 50% trở lên. </w:t>
              </w:r>
            </w:hyperlink>
            <w:r w:rsidRPr="00B736FA">
              <w:rPr>
                <w:rFonts w:ascii="Times New Roman" w:eastAsia="Times New Roman" w:hAnsi="Times New Roman" w:cs="Times New Roman"/>
                <w:sz w:val="26"/>
                <w:szCs w:val="26"/>
              </w:rPr>
              <w:br/>
              <w:t>Hướng dẫn tại công văn 3571/TCT-TNCN ngày 10/08/2016 của Tổng cục Thuế.</w:t>
            </w:r>
          </w:p>
        </w:tc>
      </w:tr>
      <w:tr w:rsidR="00B736FA" w:rsidRPr="00B736FA" w:rsidTr="00B736FA">
        <w:trPr>
          <w:tblCellSpacing w:w="0" w:type="dxa"/>
        </w:trPr>
        <w:tc>
          <w:tcPr>
            <w:tcW w:w="5000" w:type="pct"/>
            <w:shd w:val="clear" w:color="auto" w:fill="FFFFFF"/>
            <w:hideMark/>
          </w:tcPr>
          <w:p w:rsidR="00B736FA" w:rsidRPr="00B736FA" w:rsidRDefault="00B736FA" w:rsidP="00911A71">
            <w:pPr>
              <w:spacing w:after="0" w:line="300" w:lineRule="atLeast"/>
              <w:rPr>
                <w:rFonts w:ascii="Times New Roman" w:eastAsia="Times New Roman" w:hAnsi="Times New Roman" w:cs="Times New Roman"/>
                <w:sz w:val="26"/>
                <w:szCs w:val="26"/>
              </w:rPr>
            </w:pPr>
            <w:hyperlink r:id="rId8" w:tgtFrame="_blank" w:history="1">
              <w:r w:rsidRPr="00B736FA">
                <w:rPr>
                  <w:rFonts w:ascii="Times New Roman" w:eastAsia="Times New Roman" w:hAnsi="Times New Roman" w:cs="Times New Roman"/>
                  <w:bCs/>
                  <w:sz w:val="26"/>
                  <w:szCs w:val="26"/>
                </w:rPr>
                <w:br/>
              </w:r>
              <w:r w:rsidRPr="00911A71">
                <w:rPr>
                  <w:rFonts w:ascii="Times New Roman" w:eastAsia="Times New Roman" w:hAnsi="Times New Roman" w:cs="Times New Roman"/>
                  <w:bCs/>
                  <w:sz w:val="26"/>
                  <w:szCs w:val="26"/>
                </w:rPr>
                <w:t>Cá nhân nộp thuế khoán trong năm, không có thay đổi về ngành nghề kinh doanh so với ngành nghề đã được cơ quan thuế khoán thuế thì chỉ điều chỉnh doanh thu khoán khi xác định doanh thu tính thuế thay đổi từ 50% trở lên. </w:t>
              </w:r>
            </w:hyperlink>
            <w:r w:rsidRPr="00B736FA">
              <w:rPr>
                <w:rFonts w:ascii="Times New Roman" w:eastAsia="Times New Roman" w:hAnsi="Times New Roman" w:cs="Times New Roman"/>
                <w:sz w:val="26"/>
                <w:szCs w:val="26"/>
              </w:rPr>
              <w:br/>
              <w:t>Hướng dẫn tại công văn 3571/TCT-TNCN ngày 10/08/2016 của Tổng cục Thuế.</w:t>
            </w:r>
          </w:p>
        </w:tc>
      </w:tr>
      <w:tr w:rsidR="00B736FA" w:rsidRPr="00B736FA" w:rsidTr="00B736FA">
        <w:trPr>
          <w:tblCellSpacing w:w="0" w:type="dxa"/>
        </w:trPr>
        <w:tc>
          <w:tcPr>
            <w:tcW w:w="5000" w:type="pct"/>
            <w:shd w:val="clear" w:color="auto" w:fill="FFFFFF"/>
            <w:hideMark/>
          </w:tcPr>
          <w:p w:rsidR="00B736FA" w:rsidRPr="00B736FA" w:rsidRDefault="00B736FA" w:rsidP="00911A71">
            <w:pPr>
              <w:spacing w:after="0" w:line="300" w:lineRule="atLeast"/>
              <w:rPr>
                <w:rFonts w:ascii="Times New Roman" w:eastAsia="Times New Roman" w:hAnsi="Times New Roman" w:cs="Times New Roman"/>
                <w:sz w:val="26"/>
                <w:szCs w:val="26"/>
              </w:rPr>
            </w:pPr>
            <w:hyperlink r:id="rId9" w:tgtFrame="_blank" w:history="1">
              <w:r w:rsidRPr="00B736FA">
                <w:rPr>
                  <w:rFonts w:ascii="Times New Roman" w:eastAsia="Times New Roman" w:hAnsi="Times New Roman" w:cs="Times New Roman"/>
                  <w:bCs/>
                  <w:sz w:val="26"/>
                  <w:szCs w:val="26"/>
                </w:rPr>
                <w:br/>
              </w:r>
              <w:r w:rsidRPr="00911A71">
                <w:rPr>
                  <w:rFonts w:ascii="Times New Roman" w:eastAsia="Times New Roman" w:hAnsi="Times New Roman" w:cs="Times New Roman"/>
                  <w:bCs/>
                  <w:sz w:val="26"/>
                  <w:szCs w:val="26"/>
                </w:rPr>
                <w:t>Cá nhân là lao động nước ngoài nếu không đồng thời thỏa mãn 3 điều kiện: có mặt tại Việt Nam không quá 183 ngày, chủ lao động hay đại diện chủ lao động trả tiền công không phải là đối tượng cư trú tại Việt Nam, và số tiền công không phải phát sinh tại một cơ sở thường trú hoặc cố định mà người chủ lao động có tại Việt Nam, thì sẽ bị đánh thuế đối với thu nhập từ công việc làm công tại Việt Nam.</w:t>
              </w:r>
            </w:hyperlink>
            <w:r w:rsidRPr="00B736FA">
              <w:rPr>
                <w:rFonts w:ascii="Times New Roman" w:eastAsia="Times New Roman" w:hAnsi="Times New Roman" w:cs="Times New Roman"/>
                <w:sz w:val="26"/>
                <w:szCs w:val="26"/>
              </w:rPr>
              <w:br/>
              <w:t>Hướng dẫn tại công văn 3603/TCT-HTQT ngày 11/08/2016 của Tổng cục Thuế.</w:t>
            </w:r>
          </w:p>
        </w:tc>
      </w:tr>
      <w:tr w:rsidR="00B736FA" w:rsidRPr="00B736FA" w:rsidTr="00B736FA">
        <w:trPr>
          <w:tblCellSpacing w:w="0" w:type="dxa"/>
        </w:trPr>
        <w:tc>
          <w:tcPr>
            <w:tcW w:w="5000" w:type="pct"/>
            <w:shd w:val="clear" w:color="auto" w:fill="FFFFFF"/>
            <w:hideMark/>
          </w:tcPr>
          <w:p w:rsidR="00B736FA" w:rsidRPr="00B736FA" w:rsidRDefault="00B736FA" w:rsidP="00911A71">
            <w:pPr>
              <w:spacing w:after="0" w:line="300" w:lineRule="atLeast"/>
              <w:rPr>
                <w:rFonts w:ascii="Times New Roman" w:eastAsia="Times New Roman" w:hAnsi="Times New Roman" w:cs="Times New Roman"/>
                <w:sz w:val="26"/>
                <w:szCs w:val="26"/>
              </w:rPr>
            </w:pPr>
            <w:hyperlink r:id="rId10" w:tgtFrame="_blank" w:history="1">
              <w:r w:rsidRPr="00B736FA">
                <w:rPr>
                  <w:rFonts w:ascii="Times New Roman" w:eastAsia="Times New Roman" w:hAnsi="Times New Roman" w:cs="Times New Roman"/>
                  <w:bCs/>
                  <w:sz w:val="26"/>
                  <w:szCs w:val="26"/>
                </w:rPr>
                <w:br/>
              </w:r>
              <w:r w:rsidRPr="00911A71">
                <w:rPr>
                  <w:rFonts w:ascii="Times New Roman" w:eastAsia="Times New Roman" w:hAnsi="Times New Roman" w:cs="Times New Roman"/>
                  <w:bCs/>
                  <w:sz w:val="26"/>
                  <w:szCs w:val="26"/>
                </w:rPr>
                <w:t>Cá nhân là lao động nước ngoài nếu không đồng thời thỏa mãn 3 điều kiện: có mặt tại Việt Nam không quá 183 ngày, chủ lao động hay đại diện chủ lao động trả tiền công không phải là đối tượng cư trú tại Việt Nam, và số tiền công không phải phát sinh tại một cơ sở thường trú hoặc cố định mà người chủ lao động có tại Việt Nam, thì sẽ bị đánh thuế đối với thu nhập từ công việc làm công tại Việt Nam.</w:t>
              </w:r>
            </w:hyperlink>
            <w:r w:rsidRPr="00B736FA">
              <w:rPr>
                <w:rFonts w:ascii="Times New Roman" w:eastAsia="Times New Roman" w:hAnsi="Times New Roman" w:cs="Times New Roman"/>
                <w:sz w:val="26"/>
                <w:szCs w:val="26"/>
              </w:rPr>
              <w:br/>
              <w:t>Hướng dẫn tại công văn 3603/TCT-HTQT ngày 11/08/2016 của Tổng cục Thuế.</w:t>
            </w:r>
          </w:p>
        </w:tc>
      </w:tr>
      <w:tr w:rsidR="00B736FA" w:rsidRPr="00B736FA" w:rsidTr="00B736FA">
        <w:trPr>
          <w:tblCellSpacing w:w="0" w:type="dxa"/>
        </w:trPr>
        <w:tc>
          <w:tcPr>
            <w:tcW w:w="5000" w:type="pct"/>
            <w:shd w:val="clear" w:color="auto" w:fill="FFFFFF"/>
            <w:hideMark/>
          </w:tcPr>
          <w:p w:rsidR="00B736FA" w:rsidRPr="00B736FA" w:rsidRDefault="00B736FA" w:rsidP="00911A71">
            <w:pPr>
              <w:spacing w:after="0" w:line="300" w:lineRule="atLeast"/>
              <w:rPr>
                <w:rFonts w:ascii="Times New Roman" w:eastAsia="Times New Roman" w:hAnsi="Times New Roman" w:cs="Times New Roman"/>
                <w:sz w:val="26"/>
                <w:szCs w:val="26"/>
              </w:rPr>
            </w:pPr>
            <w:hyperlink r:id="rId11" w:tgtFrame="_blank" w:history="1">
              <w:r w:rsidRPr="00B736FA">
                <w:rPr>
                  <w:rFonts w:ascii="Times New Roman" w:eastAsia="Times New Roman" w:hAnsi="Times New Roman" w:cs="Times New Roman"/>
                  <w:bCs/>
                  <w:sz w:val="26"/>
                  <w:szCs w:val="26"/>
                </w:rPr>
                <w:br/>
              </w:r>
              <w:r w:rsidRPr="00911A71">
                <w:rPr>
                  <w:rFonts w:ascii="Times New Roman" w:eastAsia="Times New Roman" w:hAnsi="Times New Roman" w:cs="Times New Roman"/>
                  <w:bCs/>
                  <w:sz w:val="26"/>
                  <w:szCs w:val="26"/>
                </w:rPr>
                <w:lastRenderedPageBreak/>
                <w:t>Doanh nghiệp ký hợp đồng giao, nhận khoán với người lao động là dân tộc thiểu số cư trú hợp pháp trên địa bàn là khu vực miền núi, vùng đặc biệt khó khăn, sử dụng đất vào mục đích sản xuất nông, lâm nghiệp, nuôi trồng thủy sản thì chưa đủ cơ sở để xem xét miễn, giảm tiền thuê đất.</w:t>
              </w:r>
            </w:hyperlink>
            <w:r w:rsidRPr="00B736FA">
              <w:rPr>
                <w:rFonts w:ascii="Times New Roman" w:eastAsia="Times New Roman" w:hAnsi="Times New Roman" w:cs="Times New Roman"/>
                <w:sz w:val="26"/>
                <w:szCs w:val="26"/>
              </w:rPr>
              <w:br/>
              <w:t>Hướng dẫn tại công văn 3604/TCT-DNL ngày 11/08/2016 của Tổng cục Thuế.</w:t>
            </w:r>
          </w:p>
        </w:tc>
      </w:tr>
      <w:tr w:rsidR="00B736FA" w:rsidRPr="00B736FA" w:rsidTr="00B736FA">
        <w:trPr>
          <w:tblCellSpacing w:w="0" w:type="dxa"/>
        </w:trPr>
        <w:tc>
          <w:tcPr>
            <w:tcW w:w="5000" w:type="pct"/>
            <w:shd w:val="clear" w:color="auto" w:fill="FFFFFF"/>
            <w:hideMark/>
          </w:tcPr>
          <w:p w:rsidR="00B736FA" w:rsidRPr="00B736FA" w:rsidRDefault="00B736FA" w:rsidP="00911A71">
            <w:pPr>
              <w:spacing w:after="0" w:line="300" w:lineRule="atLeast"/>
              <w:rPr>
                <w:rFonts w:ascii="Times New Roman" w:eastAsia="Times New Roman" w:hAnsi="Times New Roman" w:cs="Times New Roman"/>
                <w:sz w:val="26"/>
                <w:szCs w:val="26"/>
              </w:rPr>
            </w:pPr>
            <w:hyperlink r:id="rId12" w:tgtFrame="_blank" w:history="1">
              <w:r w:rsidRPr="00B736FA">
                <w:rPr>
                  <w:rFonts w:ascii="Times New Roman" w:eastAsia="Times New Roman" w:hAnsi="Times New Roman" w:cs="Times New Roman"/>
                  <w:bCs/>
                  <w:sz w:val="26"/>
                  <w:szCs w:val="26"/>
                </w:rPr>
                <w:br/>
              </w:r>
              <w:r w:rsidRPr="00911A71">
                <w:rPr>
                  <w:rFonts w:ascii="Times New Roman" w:eastAsia="Times New Roman" w:hAnsi="Times New Roman" w:cs="Times New Roman"/>
                  <w:bCs/>
                  <w:sz w:val="26"/>
                  <w:szCs w:val="26"/>
                </w:rPr>
                <w:t>Tổ chức trung gian cung cấp dịch vụ hóa đơn điện tử nếu tham gia vào quy trình lập, phát hành hóa đơn điện tử và có sinh số, mã xác thực hoặc logo, biểu tượng... lên hóa đơn điện tử của doanh nghiệp thì nội dung này không có giá trị pháp lý thay cho cơ quan thuế cấp số, mã xác thực trên hóa đơn điện tử.</w:t>
              </w:r>
            </w:hyperlink>
            <w:r w:rsidRPr="00B736FA">
              <w:rPr>
                <w:rFonts w:ascii="Times New Roman" w:eastAsia="Times New Roman" w:hAnsi="Times New Roman" w:cs="Times New Roman"/>
                <w:sz w:val="26"/>
                <w:szCs w:val="26"/>
              </w:rPr>
              <w:br/>
              <w:t>Hướng dẫn tại công văn 3630/TCT-DNL ngày 12/08/2016 của Tổng cục Thuế.</w:t>
            </w:r>
          </w:p>
        </w:tc>
      </w:tr>
      <w:tr w:rsidR="00B736FA" w:rsidRPr="00B736FA" w:rsidTr="00B736FA">
        <w:trPr>
          <w:tblCellSpacing w:w="0" w:type="dxa"/>
        </w:trPr>
        <w:tc>
          <w:tcPr>
            <w:tcW w:w="5000" w:type="pct"/>
            <w:shd w:val="clear" w:color="auto" w:fill="FFFFFF"/>
            <w:hideMark/>
          </w:tcPr>
          <w:p w:rsidR="00B736FA" w:rsidRPr="00B736FA" w:rsidRDefault="00B736FA" w:rsidP="00911A71">
            <w:pPr>
              <w:spacing w:after="0" w:line="300" w:lineRule="atLeast"/>
              <w:rPr>
                <w:rFonts w:ascii="Times New Roman" w:eastAsia="Times New Roman" w:hAnsi="Times New Roman" w:cs="Times New Roman"/>
                <w:sz w:val="26"/>
                <w:szCs w:val="26"/>
              </w:rPr>
            </w:pPr>
            <w:hyperlink r:id="rId13" w:tgtFrame="_blank" w:history="1">
              <w:r w:rsidRPr="00B736FA">
                <w:rPr>
                  <w:rFonts w:ascii="Times New Roman" w:eastAsia="Times New Roman" w:hAnsi="Times New Roman" w:cs="Times New Roman"/>
                  <w:bCs/>
                  <w:sz w:val="26"/>
                  <w:szCs w:val="26"/>
                </w:rPr>
                <w:br/>
              </w:r>
              <w:r w:rsidRPr="00911A71">
                <w:rPr>
                  <w:rFonts w:ascii="Times New Roman" w:eastAsia="Times New Roman" w:hAnsi="Times New Roman" w:cs="Times New Roman"/>
                  <w:bCs/>
                  <w:sz w:val="26"/>
                  <w:szCs w:val="26"/>
                </w:rPr>
                <w:t>Người nộp thuế TNCN có thu nhập từ tiền lương, tiền công đăng ký người phụ thuộc theo mẫu ban hành kèm theo văn bản hướng dẫn hiện hành về quản lý thuế và nộp 02 bản cho tổ chức, cá nhân trả thu nhập: Tổ chức, cá nhân trả thu nhập lưu giữ một bản và nộp một bản cho cơ quan thuế trực tiếp quản lý cùng thời điểm nộp tờ khai thuế TNCN của kỳ khai thuế đó.</w:t>
              </w:r>
            </w:hyperlink>
            <w:r w:rsidRPr="00B736FA">
              <w:rPr>
                <w:rFonts w:ascii="Times New Roman" w:eastAsia="Times New Roman" w:hAnsi="Times New Roman" w:cs="Times New Roman"/>
                <w:sz w:val="26"/>
                <w:szCs w:val="26"/>
              </w:rPr>
              <w:br/>
              <w:t>Hướng dẫn tại công văn 3436/TCT-TNCN ngày 02/08/2016 của Tổng cục Thuế.</w:t>
            </w:r>
          </w:p>
        </w:tc>
      </w:tr>
      <w:tr w:rsidR="00B736FA" w:rsidRPr="00B736FA" w:rsidTr="00B736FA">
        <w:trPr>
          <w:tblCellSpacing w:w="0" w:type="dxa"/>
        </w:trPr>
        <w:tc>
          <w:tcPr>
            <w:tcW w:w="5000" w:type="pct"/>
            <w:shd w:val="clear" w:color="auto" w:fill="FFFFFF"/>
            <w:hideMark/>
          </w:tcPr>
          <w:p w:rsidR="00B736FA" w:rsidRPr="00B736FA" w:rsidRDefault="00B736FA" w:rsidP="00911A71">
            <w:pPr>
              <w:spacing w:after="0" w:line="300" w:lineRule="atLeast"/>
              <w:rPr>
                <w:rFonts w:ascii="Times New Roman" w:eastAsia="Times New Roman" w:hAnsi="Times New Roman" w:cs="Times New Roman"/>
                <w:sz w:val="26"/>
                <w:szCs w:val="26"/>
              </w:rPr>
            </w:pPr>
            <w:hyperlink r:id="rId14" w:tgtFrame="_blank" w:history="1">
              <w:r w:rsidRPr="00B736FA">
                <w:rPr>
                  <w:rFonts w:ascii="Times New Roman" w:eastAsia="Times New Roman" w:hAnsi="Times New Roman" w:cs="Times New Roman"/>
                  <w:bCs/>
                  <w:sz w:val="26"/>
                  <w:szCs w:val="26"/>
                </w:rPr>
                <w:br/>
              </w:r>
              <w:r w:rsidRPr="00911A71">
                <w:rPr>
                  <w:rFonts w:ascii="Times New Roman" w:eastAsia="Times New Roman" w:hAnsi="Times New Roman" w:cs="Times New Roman"/>
                  <w:bCs/>
                  <w:sz w:val="26"/>
                  <w:szCs w:val="26"/>
                </w:rPr>
                <w:t>Doanh nghiệp ký hợp đồng với doanh nghiệp nước ngoài cung cấp dịch vụ tư vấn, quản lý, kỹ thuật cho các dự án của doanh nghiệp, trong hợp đồng ngoài mức giá hợp đồng ước tính, doanh nghiệp sẽ chi trả các khoản công tác phí dựa vào chi phí thực tế bằng chứng từ thì khoản phí này thuộc thu nhập chịu thuế nhà thầu của doanh nghiệp nước ngoài tại Việt Nam.</w:t>
              </w:r>
            </w:hyperlink>
            <w:r w:rsidRPr="00B736FA">
              <w:rPr>
                <w:rFonts w:ascii="Times New Roman" w:eastAsia="Times New Roman" w:hAnsi="Times New Roman" w:cs="Times New Roman"/>
                <w:sz w:val="26"/>
                <w:szCs w:val="26"/>
              </w:rPr>
              <w:br/>
              <w:t>Hướng dẫn tại công văn 3572/TCT-CS ngày 10/08/2016 của Tổng cục Thuế</w:t>
            </w:r>
          </w:p>
        </w:tc>
      </w:tr>
      <w:tr w:rsidR="00B736FA" w:rsidRPr="00B736FA" w:rsidTr="00B736FA">
        <w:trPr>
          <w:tblCellSpacing w:w="0" w:type="dxa"/>
        </w:trPr>
        <w:tc>
          <w:tcPr>
            <w:tcW w:w="5000" w:type="pct"/>
            <w:shd w:val="clear" w:color="auto" w:fill="FFFFFF"/>
            <w:hideMark/>
          </w:tcPr>
          <w:p w:rsidR="00B736FA" w:rsidRPr="00B736FA" w:rsidRDefault="00B736FA" w:rsidP="00911A71">
            <w:pPr>
              <w:spacing w:after="0" w:line="300" w:lineRule="atLeast"/>
              <w:rPr>
                <w:rFonts w:ascii="Times New Roman" w:eastAsia="Times New Roman" w:hAnsi="Times New Roman" w:cs="Times New Roman"/>
                <w:sz w:val="26"/>
                <w:szCs w:val="26"/>
              </w:rPr>
            </w:pPr>
            <w:hyperlink r:id="rId15" w:tgtFrame="_blank" w:history="1">
              <w:r w:rsidRPr="00B736FA">
                <w:rPr>
                  <w:rFonts w:ascii="Times New Roman" w:eastAsia="Times New Roman" w:hAnsi="Times New Roman" w:cs="Times New Roman"/>
                  <w:bCs/>
                  <w:sz w:val="26"/>
                  <w:szCs w:val="26"/>
                </w:rPr>
                <w:br/>
              </w:r>
              <w:r w:rsidRPr="00911A71">
                <w:rPr>
                  <w:rFonts w:ascii="Times New Roman" w:eastAsia="Times New Roman" w:hAnsi="Times New Roman" w:cs="Times New Roman"/>
                  <w:bCs/>
                  <w:sz w:val="26"/>
                  <w:szCs w:val="26"/>
                </w:rPr>
                <w:t>Dự án của doanh nghiệp đang được hưởng ưu đãi về thuế xuất nhập khẩu thấp hơn mức ưu đãi hoặc chưa được hưởng ưu đãi thì doanh nghiệp được hưởng ưu đãi cho thời gian hưởng ưu đãi còn lại của dự án theo quy định tại Luật thuế xuất khẩu, thuế nhập khẩu số 107/2016/QH13. </w:t>
              </w:r>
            </w:hyperlink>
            <w:r w:rsidRPr="00B736FA">
              <w:rPr>
                <w:rFonts w:ascii="Times New Roman" w:eastAsia="Times New Roman" w:hAnsi="Times New Roman" w:cs="Times New Roman"/>
                <w:sz w:val="26"/>
                <w:szCs w:val="26"/>
              </w:rPr>
              <w:br/>
              <w:t>Hướng dẫn tại công văn 10357/BTC-CST ngày 26/07/2016 của Bộ Tài chính</w:t>
            </w:r>
          </w:p>
        </w:tc>
      </w:tr>
      <w:tr w:rsidR="00B736FA" w:rsidRPr="00B736FA" w:rsidTr="00B736FA">
        <w:trPr>
          <w:tblCellSpacing w:w="0" w:type="dxa"/>
        </w:trPr>
        <w:tc>
          <w:tcPr>
            <w:tcW w:w="5000" w:type="pct"/>
            <w:shd w:val="clear" w:color="auto" w:fill="FFFFFF"/>
            <w:hideMark/>
          </w:tcPr>
          <w:p w:rsidR="00B736FA" w:rsidRPr="00B736FA" w:rsidRDefault="00B736FA" w:rsidP="00911A71">
            <w:pPr>
              <w:spacing w:after="0" w:line="300" w:lineRule="atLeast"/>
              <w:rPr>
                <w:rFonts w:ascii="Times New Roman" w:eastAsia="Times New Roman" w:hAnsi="Times New Roman" w:cs="Times New Roman"/>
                <w:sz w:val="26"/>
                <w:szCs w:val="26"/>
              </w:rPr>
            </w:pPr>
            <w:hyperlink r:id="rId16" w:tgtFrame="_blank" w:history="1">
              <w:r w:rsidRPr="00B736FA">
                <w:rPr>
                  <w:rFonts w:ascii="Times New Roman" w:eastAsia="Times New Roman" w:hAnsi="Times New Roman" w:cs="Times New Roman"/>
                  <w:bCs/>
                  <w:sz w:val="26"/>
                  <w:szCs w:val="26"/>
                </w:rPr>
                <w:br/>
              </w:r>
              <w:r w:rsidRPr="00911A71">
                <w:rPr>
                  <w:rFonts w:ascii="Times New Roman" w:eastAsia="Times New Roman" w:hAnsi="Times New Roman" w:cs="Times New Roman"/>
                  <w:bCs/>
                  <w:sz w:val="26"/>
                  <w:szCs w:val="26"/>
                </w:rPr>
                <w:t>Cá nhân có quyền sở hữu nhà ở, quyền sử dụng đất ở và tài sản gắn liền với đất, đã làm thủ tục tách thành các lô đất được cơ quan cấp có thẩm quyền trích đo địa chính. Khi chuyển nhượng các lô đất này cho các cá nhân khác nhau trong cùng một ngày thì cá nhân không thuộc diện được miễn thuế TNCN là nhà ở, đất ở duy nhất.</w:t>
              </w:r>
            </w:hyperlink>
            <w:r w:rsidRPr="00B736FA">
              <w:rPr>
                <w:rFonts w:ascii="Times New Roman" w:eastAsia="Times New Roman" w:hAnsi="Times New Roman" w:cs="Times New Roman"/>
                <w:sz w:val="26"/>
                <w:szCs w:val="26"/>
              </w:rPr>
              <w:br/>
              <w:t>Hướng dẫn tại công văn 3520/TCT-TNCN ngày 08/08/2016 của Tổng cục Thuế.</w:t>
            </w:r>
          </w:p>
        </w:tc>
      </w:tr>
    </w:tbl>
    <w:p w:rsidR="00616B9C" w:rsidRPr="00911A71" w:rsidRDefault="00616B9C" w:rsidP="00911A71">
      <w:pPr>
        <w:pStyle w:val="Heading3"/>
        <w:spacing w:line="300" w:lineRule="atLeast"/>
        <w:jc w:val="left"/>
      </w:pPr>
    </w:p>
    <w:p w:rsidR="00911A71" w:rsidRPr="00911A71" w:rsidRDefault="00911A71" w:rsidP="00911A71">
      <w:pPr>
        <w:pStyle w:val="Heading3"/>
        <w:spacing w:line="300" w:lineRule="atLeast"/>
        <w:jc w:val="left"/>
      </w:pPr>
    </w:p>
    <w:p w:rsidR="00911A71" w:rsidRPr="00911A71" w:rsidRDefault="00911A71">
      <w:pPr>
        <w:pStyle w:val="Heading3"/>
        <w:spacing w:line="300" w:lineRule="atLeast"/>
        <w:jc w:val="left"/>
      </w:pPr>
    </w:p>
    <w:sectPr w:rsidR="00911A71" w:rsidRPr="00911A71" w:rsidSect="00616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352C1"/>
    <w:multiLevelType w:val="multilevel"/>
    <w:tmpl w:val="3676B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563D7"/>
    <w:rsid w:val="00141B84"/>
    <w:rsid w:val="00203FBA"/>
    <w:rsid w:val="00377962"/>
    <w:rsid w:val="004122E2"/>
    <w:rsid w:val="004C547B"/>
    <w:rsid w:val="00616B9C"/>
    <w:rsid w:val="006319DE"/>
    <w:rsid w:val="006B060F"/>
    <w:rsid w:val="007F3B4A"/>
    <w:rsid w:val="008A77DE"/>
    <w:rsid w:val="008F3D81"/>
    <w:rsid w:val="00911A71"/>
    <w:rsid w:val="00B563D7"/>
    <w:rsid w:val="00B736FA"/>
    <w:rsid w:val="00CA4053"/>
    <w:rsid w:val="00CC3107"/>
    <w:rsid w:val="00DE7453"/>
    <w:rsid w:val="00FA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C"/>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911A71"/>
    <w:pPr>
      <w:spacing w:before="60" w:after="60" w:line="300" w:lineRule="atLeast"/>
      <w:ind w:left="576"/>
      <w:jc w:val="center"/>
      <w:outlineLvl w:val="1"/>
    </w:pPr>
    <w:rPr>
      <w:rFonts w:ascii="Times New Roman" w:eastAsia="Times New Roman" w:hAnsi="Times New Roman" w:cs="Times New Roman"/>
      <w:b/>
      <w:bCs/>
      <w:sz w:val="26"/>
      <w:szCs w:val="26"/>
      <w:bdr w:val="none" w:sz="0" w:space="0" w:color="auto" w:frame="1"/>
    </w:rPr>
  </w:style>
  <w:style w:type="paragraph" w:styleId="Heading3">
    <w:name w:val="heading 3"/>
    <w:basedOn w:val="Normal"/>
    <w:next w:val="Normal"/>
    <w:link w:val="Heading3Char"/>
    <w:autoRedefine/>
    <w:qFormat/>
    <w:rsid w:val="00911A71"/>
    <w:pPr>
      <w:keepNext/>
      <w:spacing w:before="60" w:after="60" w:line="360" w:lineRule="auto"/>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911A71"/>
    <w:rPr>
      <w:rFonts w:ascii="Times New Roman" w:eastAsia="Times New Roman" w:hAnsi="Times New Roman" w:cs="Times New Roman"/>
      <w:b/>
      <w:bCs/>
      <w:sz w:val="26"/>
      <w:szCs w:val="26"/>
      <w:bdr w:val="none" w:sz="0" w:space="0" w:color="auto" w:frame="1"/>
    </w:rPr>
  </w:style>
  <w:style w:type="character" w:customStyle="1" w:styleId="Heading3Char">
    <w:name w:val="Heading 3 Char"/>
    <w:basedOn w:val="DefaultParagraphFont"/>
    <w:link w:val="Heading3"/>
    <w:rsid w:val="00911A71"/>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semiHidden/>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s>
</file>

<file path=word/webSettings.xml><?xml version="1.0" encoding="utf-8"?>
<w:webSettings xmlns:r="http://schemas.openxmlformats.org/officeDocument/2006/relationships" xmlns:w="http://schemas.openxmlformats.org/wordprocessingml/2006/main">
  <w:divs>
    <w:div w:id="220481843">
      <w:bodyDiv w:val="1"/>
      <w:marLeft w:val="0"/>
      <w:marRight w:val="0"/>
      <w:marTop w:val="0"/>
      <w:marBottom w:val="0"/>
      <w:divBdr>
        <w:top w:val="none" w:sz="0" w:space="0" w:color="auto"/>
        <w:left w:val="none" w:sz="0" w:space="0" w:color="auto"/>
        <w:bottom w:val="none" w:sz="0" w:space="0" w:color="auto"/>
        <w:right w:val="none" w:sz="0" w:space="0" w:color="auto"/>
      </w:divBdr>
    </w:div>
    <w:div w:id="234508851">
      <w:bodyDiv w:val="1"/>
      <w:marLeft w:val="0"/>
      <w:marRight w:val="0"/>
      <w:marTop w:val="0"/>
      <w:marBottom w:val="0"/>
      <w:divBdr>
        <w:top w:val="none" w:sz="0" w:space="0" w:color="auto"/>
        <w:left w:val="none" w:sz="0" w:space="0" w:color="auto"/>
        <w:bottom w:val="none" w:sz="0" w:space="0" w:color="auto"/>
        <w:right w:val="none" w:sz="0" w:space="0" w:color="auto"/>
      </w:divBdr>
    </w:div>
    <w:div w:id="238443070">
      <w:bodyDiv w:val="1"/>
      <w:marLeft w:val="0"/>
      <w:marRight w:val="0"/>
      <w:marTop w:val="0"/>
      <w:marBottom w:val="0"/>
      <w:divBdr>
        <w:top w:val="none" w:sz="0" w:space="0" w:color="auto"/>
        <w:left w:val="none" w:sz="0" w:space="0" w:color="auto"/>
        <w:bottom w:val="none" w:sz="0" w:space="0" w:color="auto"/>
        <w:right w:val="none" w:sz="0" w:space="0" w:color="auto"/>
      </w:divBdr>
    </w:div>
    <w:div w:id="299266322">
      <w:bodyDiv w:val="1"/>
      <w:marLeft w:val="0"/>
      <w:marRight w:val="0"/>
      <w:marTop w:val="0"/>
      <w:marBottom w:val="0"/>
      <w:divBdr>
        <w:top w:val="none" w:sz="0" w:space="0" w:color="auto"/>
        <w:left w:val="none" w:sz="0" w:space="0" w:color="auto"/>
        <w:bottom w:val="none" w:sz="0" w:space="0" w:color="auto"/>
        <w:right w:val="none" w:sz="0" w:space="0" w:color="auto"/>
      </w:divBdr>
    </w:div>
    <w:div w:id="416485843">
      <w:bodyDiv w:val="1"/>
      <w:marLeft w:val="0"/>
      <w:marRight w:val="0"/>
      <w:marTop w:val="0"/>
      <w:marBottom w:val="0"/>
      <w:divBdr>
        <w:top w:val="none" w:sz="0" w:space="0" w:color="auto"/>
        <w:left w:val="none" w:sz="0" w:space="0" w:color="auto"/>
        <w:bottom w:val="none" w:sz="0" w:space="0" w:color="auto"/>
        <w:right w:val="none" w:sz="0" w:space="0" w:color="auto"/>
      </w:divBdr>
    </w:div>
    <w:div w:id="592054156">
      <w:bodyDiv w:val="1"/>
      <w:marLeft w:val="0"/>
      <w:marRight w:val="0"/>
      <w:marTop w:val="0"/>
      <w:marBottom w:val="0"/>
      <w:divBdr>
        <w:top w:val="none" w:sz="0" w:space="0" w:color="auto"/>
        <w:left w:val="none" w:sz="0" w:space="0" w:color="auto"/>
        <w:bottom w:val="none" w:sz="0" w:space="0" w:color="auto"/>
        <w:right w:val="none" w:sz="0" w:space="0" w:color="auto"/>
      </w:divBdr>
    </w:div>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 w:id="1324314943">
      <w:bodyDiv w:val="1"/>
      <w:marLeft w:val="0"/>
      <w:marRight w:val="0"/>
      <w:marTop w:val="0"/>
      <w:marBottom w:val="0"/>
      <w:divBdr>
        <w:top w:val="none" w:sz="0" w:space="0" w:color="auto"/>
        <w:left w:val="none" w:sz="0" w:space="0" w:color="auto"/>
        <w:bottom w:val="none" w:sz="0" w:space="0" w:color="auto"/>
        <w:right w:val="none" w:sz="0" w:space="0" w:color="auto"/>
      </w:divBdr>
    </w:div>
    <w:div w:id="1358695226">
      <w:bodyDiv w:val="1"/>
      <w:marLeft w:val="0"/>
      <w:marRight w:val="0"/>
      <w:marTop w:val="0"/>
      <w:marBottom w:val="0"/>
      <w:divBdr>
        <w:top w:val="none" w:sz="0" w:space="0" w:color="auto"/>
        <w:left w:val="none" w:sz="0" w:space="0" w:color="auto"/>
        <w:bottom w:val="none" w:sz="0" w:space="0" w:color="auto"/>
        <w:right w:val="none" w:sz="0" w:space="0" w:color="auto"/>
      </w:divBdr>
    </w:div>
    <w:div w:id="1364942681">
      <w:bodyDiv w:val="1"/>
      <w:marLeft w:val="0"/>
      <w:marRight w:val="0"/>
      <w:marTop w:val="0"/>
      <w:marBottom w:val="0"/>
      <w:divBdr>
        <w:top w:val="none" w:sz="0" w:space="0" w:color="auto"/>
        <w:left w:val="none" w:sz="0" w:space="0" w:color="auto"/>
        <w:bottom w:val="none" w:sz="0" w:space="0" w:color="auto"/>
        <w:right w:val="none" w:sz="0" w:space="0" w:color="auto"/>
      </w:divBdr>
    </w:div>
    <w:div w:id="1368485991">
      <w:bodyDiv w:val="1"/>
      <w:marLeft w:val="0"/>
      <w:marRight w:val="0"/>
      <w:marTop w:val="0"/>
      <w:marBottom w:val="0"/>
      <w:divBdr>
        <w:top w:val="none" w:sz="0" w:space="0" w:color="auto"/>
        <w:left w:val="none" w:sz="0" w:space="0" w:color="auto"/>
        <w:bottom w:val="none" w:sz="0" w:space="0" w:color="auto"/>
        <w:right w:val="none" w:sz="0" w:space="0" w:color="auto"/>
      </w:divBdr>
    </w:div>
    <w:div w:id="1441023994">
      <w:bodyDiv w:val="1"/>
      <w:marLeft w:val="0"/>
      <w:marRight w:val="0"/>
      <w:marTop w:val="0"/>
      <w:marBottom w:val="0"/>
      <w:divBdr>
        <w:top w:val="none" w:sz="0" w:space="0" w:color="auto"/>
        <w:left w:val="none" w:sz="0" w:space="0" w:color="auto"/>
        <w:bottom w:val="none" w:sz="0" w:space="0" w:color="auto"/>
        <w:right w:val="none" w:sz="0" w:space="0" w:color="auto"/>
      </w:divBdr>
    </w:div>
    <w:div w:id="1548950994">
      <w:bodyDiv w:val="1"/>
      <w:marLeft w:val="0"/>
      <w:marRight w:val="0"/>
      <w:marTop w:val="0"/>
      <w:marBottom w:val="0"/>
      <w:divBdr>
        <w:top w:val="none" w:sz="0" w:space="0" w:color="auto"/>
        <w:left w:val="none" w:sz="0" w:space="0" w:color="auto"/>
        <w:bottom w:val="none" w:sz="0" w:space="0" w:color="auto"/>
        <w:right w:val="none" w:sz="0" w:space="0" w:color="auto"/>
      </w:divBdr>
    </w:div>
    <w:div w:id="1662199448">
      <w:bodyDiv w:val="1"/>
      <w:marLeft w:val="0"/>
      <w:marRight w:val="0"/>
      <w:marTop w:val="0"/>
      <w:marBottom w:val="0"/>
      <w:divBdr>
        <w:top w:val="none" w:sz="0" w:space="0" w:color="auto"/>
        <w:left w:val="none" w:sz="0" w:space="0" w:color="auto"/>
        <w:bottom w:val="none" w:sz="0" w:space="0" w:color="auto"/>
        <w:right w:val="none" w:sz="0" w:space="0" w:color="auto"/>
      </w:divBdr>
    </w:div>
    <w:div w:id="1681539482">
      <w:bodyDiv w:val="1"/>
      <w:marLeft w:val="0"/>
      <w:marRight w:val="0"/>
      <w:marTop w:val="0"/>
      <w:marBottom w:val="0"/>
      <w:divBdr>
        <w:top w:val="none" w:sz="0" w:space="0" w:color="auto"/>
        <w:left w:val="none" w:sz="0" w:space="0" w:color="auto"/>
        <w:bottom w:val="none" w:sz="0" w:space="0" w:color="auto"/>
        <w:right w:val="none" w:sz="0" w:space="0" w:color="auto"/>
      </w:divBdr>
    </w:div>
    <w:div w:id="1695495847">
      <w:bodyDiv w:val="1"/>
      <w:marLeft w:val="0"/>
      <w:marRight w:val="0"/>
      <w:marTop w:val="0"/>
      <w:marBottom w:val="0"/>
      <w:divBdr>
        <w:top w:val="none" w:sz="0" w:space="0" w:color="auto"/>
        <w:left w:val="none" w:sz="0" w:space="0" w:color="auto"/>
        <w:bottom w:val="none" w:sz="0" w:space="0" w:color="auto"/>
        <w:right w:val="none" w:sz="0" w:space="0" w:color="auto"/>
      </w:divBdr>
    </w:div>
    <w:div w:id="1927498583">
      <w:bodyDiv w:val="1"/>
      <w:marLeft w:val="0"/>
      <w:marRight w:val="0"/>
      <w:marTop w:val="0"/>
      <w:marBottom w:val="0"/>
      <w:divBdr>
        <w:top w:val="none" w:sz="0" w:space="0" w:color="auto"/>
        <w:left w:val="none" w:sz="0" w:space="0" w:color="auto"/>
        <w:bottom w:val="none" w:sz="0" w:space="0" w:color="auto"/>
        <w:right w:val="none" w:sz="0" w:space="0" w:color="auto"/>
      </w:divBdr>
    </w:div>
    <w:div w:id="1944533461">
      <w:bodyDiv w:val="1"/>
      <w:marLeft w:val="0"/>
      <w:marRight w:val="0"/>
      <w:marTop w:val="0"/>
      <w:marBottom w:val="0"/>
      <w:divBdr>
        <w:top w:val="none" w:sz="0" w:space="0" w:color="auto"/>
        <w:left w:val="none" w:sz="0" w:space="0" w:color="auto"/>
        <w:bottom w:val="none" w:sz="0" w:space="0" w:color="auto"/>
        <w:right w:val="none" w:sz="0" w:space="0" w:color="auto"/>
      </w:divBdr>
    </w:div>
    <w:div w:id="19672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ts24.com.vn/ems/link.php?M=1175302&amp;N=1524&amp;L=3556&amp;F=H" TargetMode="External"/><Relationship Id="rId13" Type="http://schemas.openxmlformats.org/officeDocument/2006/relationships/hyperlink" Target="http://ems.ts24.com.vn/ems/link.php?M=1175302&amp;N=1524&amp;L=3562&amp;F=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ms.ts24.com.vn/ems/link.php?M=1175302&amp;N=1524&amp;L=3556&amp;F=H" TargetMode="External"/><Relationship Id="rId12" Type="http://schemas.openxmlformats.org/officeDocument/2006/relationships/hyperlink" Target="http://ems.ts24.com.vn/ems/link.php?M=1175302&amp;N=1524&amp;L=3559&amp;F=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ms.ts24.com.vn/ems/link.php?M=1175302&amp;N=1524&amp;L=3568&amp;F=H" TargetMode="External"/><Relationship Id="rId1" Type="http://schemas.openxmlformats.org/officeDocument/2006/relationships/numbering" Target="numbering.xml"/><Relationship Id="rId6" Type="http://schemas.openxmlformats.org/officeDocument/2006/relationships/hyperlink" Target="http://ems.ts24.com.vn/ems/link.php?M=1175302&amp;N=1524&amp;L=3563&amp;F=H" TargetMode="External"/><Relationship Id="rId11" Type="http://schemas.openxmlformats.org/officeDocument/2006/relationships/hyperlink" Target="http://ems.ts24.com.vn/ems/link.php?M=1175302&amp;N=1524&amp;L=3553&amp;F=H" TargetMode="External"/><Relationship Id="rId5" Type="http://schemas.openxmlformats.org/officeDocument/2006/relationships/hyperlink" Target="http://ems.ts24.com.vn/ems/link.php?M=1175302&amp;N=1524&amp;L=3566&amp;F=H" TargetMode="External"/><Relationship Id="rId15" Type="http://schemas.openxmlformats.org/officeDocument/2006/relationships/hyperlink" Target="http://ems.ts24.com.vn/ems/link.php?M=1175302&amp;N=1524&amp;L=3558&amp;F=H" TargetMode="External"/><Relationship Id="rId10" Type="http://schemas.openxmlformats.org/officeDocument/2006/relationships/hyperlink" Target="http://ems.ts24.com.vn/ems/link.php?M=1175302&amp;N=1524&amp;L=3555&amp;F=H" TargetMode="External"/><Relationship Id="rId4" Type="http://schemas.openxmlformats.org/officeDocument/2006/relationships/webSettings" Target="webSettings.xml"/><Relationship Id="rId9" Type="http://schemas.openxmlformats.org/officeDocument/2006/relationships/hyperlink" Target="http://ems.ts24.com.vn/ems/link.php?M=1175302&amp;N=1524&amp;L=3555&amp;F=H" TargetMode="External"/><Relationship Id="rId14" Type="http://schemas.openxmlformats.org/officeDocument/2006/relationships/hyperlink" Target="http://ems.ts24.com.vn/ems/link.php?M=1175302&amp;N=1524&amp;L=3565&amp;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2016-09-16T02:24:00Z</dcterms:created>
  <dcterms:modified xsi:type="dcterms:W3CDTF">2016-09-16T02:38:00Z</dcterms:modified>
</cp:coreProperties>
</file>