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49" w:rsidRPr="00433C58" w:rsidRDefault="007F4D93" w:rsidP="00433C58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433C58">
        <w:rPr>
          <w:rFonts w:ascii="Times New Roman" w:hAnsi="Times New Roman" w:cs="Times New Roman"/>
          <w:b/>
          <w:sz w:val="30"/>
          <w:szCs w:val="26"/>
        </w:rPr>
        <w:t>SO SÁNH ĐIỂM GIỐNG NHAU VÀ KHÁC NHAU GIỮA THÔNG TƯ SỐ 133/2016/TT-BTC VÀ QUYẾT ĐỊNH 48/2006/QĐ-BTC</w:t>
      </w:r>
    </w:p>
    <w:p w:rsidR="00433C58" w:rsidRPr="00433C58" w:rsidRDefault="007F4D93" w:rsidP="00433C5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</w:r>
      <w:r w:rsidR="00433C58">
        <w:rPr>
          <w:rFonts w:ascii="Times New Roman" w:hAnsi="Times New Roman" w:cs="Times New Roman"/>
          <w:sz w:val="26"/>
          <w:szCs w:val="26"/>
        </w:rPr>
        <w:tab/>
      </w:r>
      <w:r w:rsidR="00433C58">
        <w:rPr>
          <w:rFonts w:ascii="Times New Roman" w:hAnsi="Times New Roman" w:cs="Times New Roman"/>
          <w:sz w:val="26"/>
          <w:szCs w:val="26"/>
        </w:rPr>
        <w:tab/>
      </w:r>
      <w:r w:rsidR="00433C58">
        <w:rPr>
          <w:rFonts w:ascii="Times New Roman" w:hAnsi="Times New Roman" w:cs="Times New Roman"/>
          <w:sz w:val="26"/>
          <w:szCs w:val="26"/>
        </w:rPr>
        <w:tab/>
      </w:r>
      <w:r w:rsidR="00433C58">
        <w:rPr>
          <w:rFonts w:ascii="Times New Roman" w:hAnsi="Times New Roman" w:cs="Times New Roman"/>
          <w:sz w:val="26"/>
          <w:szCs w:val="26"/>
        </w:rPr>
        <w:tab/>
      </w:r>
      <w:r w:rsidR="00433C58">
        <w:rPr>
          <w:rFonts w:ascii="Times New Roman" w:hAnsi="Times New Roman" w:cs="Times New Roman"/>
          <w:sz w:val="26"/>
          <w:szCs w:val="26"/>
        </w:rPr>
        <w:tab/>
      </w:r>
      <w:r w:rsidR="00433C5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33C58" w:rsidRPr="00433C58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="00433C58"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33C58" w:rsidRPr="00433C58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="00433C58" w:rsidRPr="00433C58">
        <w:rPr>
          <w:rFonts w:ascii="Times New Roman" w:hAnsi="Times New Roman" w:cs="Times New Roman"/>
          <w:b/>
          <w:sz w:val="26"/>
          <w:szCs w:val="26"/>
        </w:rPr>
        <w:t xml:space="preserve"> Kim </w:t>
      </w:r>
      <w:proofErr w:type="spellStart"/>
      <w:r w:rsidR="00433C58" w:rsidRPr="00433C58">
        <w:rPr>
          <w:rFonts w:ascii="Times New Roman" w:hAnsi="Times New Roman" w:cs="Times New Roman"/>
          <w:b/>
          <w:sz w:val="26"/>
          <w:szCs w:val="26"/>
        </w:rPr>
        <w:t>Hương</w:t>
      </w:r>
      <w:proofErr w:type="spellEnd"/>
    </w:p>
    <w:p w:rsidR="007F4D93" w:rsidRPr="00433C58" w:rsidRDefault="007F4D93" w:rsidP="00433C5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28/6/2016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133/2016/TT-BTC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48/2006/QĐ-BTC.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01/01/2017.</w:t>
      </w:r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4D93" w:rsidRPr="00433C58" w:rsidRDefault="007F4D93">
      <w:pPr>
        <w:rPr>
          <w:rFonts w:ascii="Times New Roman" w:hAnsi="Times New Roman" w:cs="Times New Roman"/>
          <w:b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</w:r>
      <w:r w:rsidRPr="00433C58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Giống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nhau</w:t>
      </w:r>
      <w:proofErr w:type="spellEnd"/>
    </w:p>
    <w:p w:rsidR="007F4D93" w:rsidRPr="00433C58" w:rsidRDefault="007F4D9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:</w:t>
      </w:r>
    </w:p>
    <w:p w:rsidR="007F4D93" w:rsidRPr="00433C58" w:rsidRDefault="007F4D9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+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Vố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 10</w:t>
      </w:r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tỷ</w:t>
      </w:r>
      <w:proofErr w:type="spellEnd"/>
    </w:p>
    <w:p w:rsidR="007F4D93" w:rsidRPr="00433C58" w:rsidRDefault="007F4D9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+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300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:rsidR="007F4D93" w:rsidRPr="00433C58" w:rsidRDefault="007F4D9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TK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TK </w:t>
      </w:r>
    </w:p>
    <w:p w:rsidR="005B165D" w:rsidRPr="00433C58" w:rsidRDefault="005B165D">
      <w:pPr>
        <w:rPr>
          <w:rFonts w:ascii="Times New Roman" w:hAnsi="Times New Roman" w:cs="Times New Roman"/>
          <w:b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</w:r>
      <w:r w:rsidRPr="00433C58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nhau</w:t>
      </w:r>
      <w:proofErr w:type="spellEnd"/>
    </w:p>
    <w:p w:rsidR="005B165D" w:rsidRPr="00433C58" w:rsidRDefault="005B165D">
      <w:pPr>
        <w:rPr>
          <w:rFonts w:ascii="Times New Roman" w:hAnsi="Times New Roman" w:cs="Times New Roman"/>
          <w:b/>
          <w:sz w:val="26"/>
          <w:szCs w:val="26"/>
        </w:rPr>
      </w:pPr>
      <w:r w:rsidRPr="00433C58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sổ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</w:p>
    <w:p w:rsidR="005B165D" w:rsidRPr="00433C58" w:rsidRDefault="005B165D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133: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</w:p>
    <w:p w:rsidR="005B165D" w:rsidRPr="00433C58" w:rsidRDefault="005B165D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48: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5B165D" w:rsidRPr="00433C58" w:rsidRDefault="005B165D">
      <w:pPr>
        <w:rPr>
          <w:rFonts w:ascii="Times New Roman" w:hAnsi="Times New Roman" w:cs="Times New Roman"/>
          <w:b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</w:r>
      <w:r w:rsidRPr="00433C58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tắc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bút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</w:p>
    <w:p w:rsidR="005B165D" w:rsidRPr="00433C58" w:rsidRDefault="005B165D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133: </w:t>
      </w:r>
    </w:p>
    <w:p w:rsidR="005B165D" w:rsidRPr="00433C58" w:rsidRDefault="005B165D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65D" w:rsidRPr="00433C58" w:rsidRDefault="005B165D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bút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33C58">
        <w:rPr>
          <w:rFonts w:ascii="Times New Roman" w:hAnsi="Times New Roman" w:cs="Times New Roman"/>
          <w:sz w:val="26"/>
          <w:szCs w:val="26"/>
        </w:rPr>
        <w:t xml:space="preserve">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bút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73"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73" w:rsidRPr="00433C5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A33D73" w:rsidRPr="00433C5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73" w:rsidRPr="00433C58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73" w:rsidRPr="00433C5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33D73" w:rsidRPr="00433C58">
        <w:rPr>
          <w:rFonts w:ascii="Times New Roman" w:hAnsi="Times New Roman" w:cs="Times New Roman"/>
          <w:sz w:val="26"/>
          <w:szCs w:val="26"/>
        </w:rPr>
        <w:t xml:space="preserve"> TK.</w:t>
      </w:r>
      <w:proofErr w:type="gramEnd"/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;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;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hạch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BCTC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dần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…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bút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khoản</w:t>
      </w:r>
      <w:proofErr w:type="spellEnd"/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 Nam</w:t>
      </w:r>
      <w:proofErr w:type="gramEnd"/>
      <w:r w:rsidRPr="00433C58">
        <w:rPr>
          <w:rFonts w:ascii="Times New Roman" w:hAnsi="Times New Roman" w:cs="Times New Roman"/>
          <w:sz w:val="26"/>
          <w:szCs w:val="26"/>
        </w:rPr>
        <w:t>;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kiêm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;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maauc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BCTC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DN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buôc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C58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>.</w:t>
      </w:r>
    </w:p>
    <w:p w:rsidR="00A33D73" w:rsidRPr="00433C58" w:rsidRDefault="00A33D73">
      <w:pPr>
        <w:rPr>
          <w:rFonts w:ascii="Times New Roman" w:hAnsi="Times New Roman" w:cs="Times New Roman"/>
          <w:sz w:val="26"/>
          <w:szCs w:val="26"/>
        </w:rPr>
      </w:pPr>
      <w:r w:rsidRPr="00433C58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5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33C58">
        <w:rPr>
          <w:rFonts w:ascii="Times New Roman" w:hAnsi="Times New Roman" w:cs="Times New Roman"/>
          <w:sz w:val="26"/>
          <w:szCs w:val="26"/>
        </w:rPr>
        <w:t xml:space="preserve"> TK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6F07" w:rsidRPr="00433C58" w:rsidTr="00186F07">
        <w:tc>
          <w:tcPr>
            <w:tcW w:w="4788" w:type="dxa"/>
          </w:tcPr>
          <w:p w:rsidR="00186F07" w:rsidRPr="00433C58" w:rsidRDefault="00186F07" w:rsidP="00433C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>Thông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133</w:t>
            </w:r>
          </w:p>
        </w:tc>
        <w:tc>
          <w:tcPr>
            <w:tcW w:w="4788" w:type="dxa"/>
          </w:tcPr>
          <w:p w:rsidR="00186F07" w:rsidRPr="00433C58" w:rsidRDefault="00186F07" w:rsidP="00433C5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>Quyết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>định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48</w:t>
            </w:r>
          </w:p>
        </w:tc>
      </w:tr>
      <w:tr w:rsidR="00433C58" w:rsidRPr="00433C58" w:rsidTr="00DB5EA4">
        <w:tc>
          <w:tcPr>
            <w:tcW w:w="9576" w:type="dxa"/>
            <w:gridSpan w:val="2"/>
          </w:tcPr>
          <w:p w:rsidR="00433C58" w:rsidRPr="00433C58" w:rsidRDefault="00433C58" w:rsidP="00433C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433C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1113, 1123: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121: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khoán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1211: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1212: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121: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128: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nắm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đáo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1281: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1288: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136: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1361: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thộc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1368: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chớ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1386: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Cầm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cược</w:t>
            </w:r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  <w:p w:rsidR="00186F07" w:rsidRPr="00433C58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chớ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  <w:p w:rsidR="00186F07" w:rsidRPr="00433C58" w:rsidRDefault="00186F07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186F07" w:rsidRPr="00433C58" w:rsidRDefault="00433C58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86F07"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1388: </w:t>
            </w:r>
            <w:proofErr w:type="spellStart"/>
            <w:r w:rsidR="00186F07"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="00186F07"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6F07"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="00186F07"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6F07"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142: Chi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151: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186F07" w:rsidRPr="00433C58" w:rsidTr="00186F07">
        <w:tc>
          <w:tcPr>
            <w:tcW w:w="4788" w:type="dxa"/>
          </w:tcPr>
          <w:p w:rsidR="00186F07" w:rsidRPr="00433C58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186F07" w:rsidRPr="00433C58" w:rsidRDefault="00186F07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171: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F84B39" w:rsidRPr="00F84B39" w:rsidTr="0060120D">
        <w:tc>
          <w:tcPr>
            <w:tcW w:w="9576" w:type="dxa"/>
            <w:gridSpan w:val="2"/>
          </w:tcPr>
          <w:p w:rsidR="00F84B39" w:rsidRPr="00F84B39" w:rsidRDefault="00F84B39" w:rsidP="00F84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>lại</w:t>
            </w:r>
            <w:proofErr w:type="spellEnd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2212: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2213: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2218: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229: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tổn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2291: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khoán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KD</w:t>
            </w:r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2292: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tổn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2293: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đòi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2294: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159: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1591: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1592: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đòi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1593: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</w:p>
          <w:p w:rsidR="00EC7B9F" w:rsidRPr="00433C58" w:rsidRDefault="00EC7B9F" w:rsidP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229: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EC7B9F" w:rsidRPr="00433C58" w:rsidRDefault="00EC7B9F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242: Chi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242: Chi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244: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cược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F84B39" w:rsidRPr="00F84B39" w:rsidTr="00C00C77">
        <w:tc>
          <w:tcPr>
            <w:tcW w:w="9576" w:type="dxa"/>
            <w:gridSpan w:val="2"/>
          </w:tcPr>
          <w:p w:rsidR="00F84B39" w:rsidRPr="00F84B39" w:rsidRDefault="00F84B39" w:rsidP="00F84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F84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311: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Vay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315: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</w:p>
        </w:tc>
      </w:tr>
      <w:tr w:rsidR="00EC7B9F" w:rsidRPr="00433C58" w:rsidTr="00186F07">
        <w:tc>
          <w:tcPr>
            <w:tcW w:w="4788" w:type="dxa"/>
          </w:tcPr>
          <w:p w:rsidR="00EC7B9F" w:rsidRPr="00433C58" w:rsidRDefault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336: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788" w:type="dxa"/>
          </w:tcPr>
          <w:p w:rsidR="00EC7B9F" w:rsidRPr="00433C58" w:rsidRDefault="00EC7B9F" w:rsidP="00EC7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571CB2" w:rsidRPr="00433C58" w:rsidTr="00186F07">
        <w:tc>
          <w:tcPr>
            <w:tcW w:w="4788" w:type="dxa"/>
          </w:tcPr>
          <w:p w:rsidR="00571CB2" w:rsidRPr="00433C58" w:rsidRDefault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Vay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  <w:p w:rsidR="00571CB2" w:rsidRPr="00433C58" w:rsidRDefault="00571CB2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vay</w:t>
            </w:r>
            <w:proofErr w:type="spellEnd"/>
          </w:p>
          <w:p w:rsidR="00571CB2" w:rsidRPr="00433C58" w:rsidRDefault="00571CB2" w:rsidP="00EC7B9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4788" w:type="dxa"/>
            <w:vMerge w:val="restart"/>
          </w:tcPr>
          <w:p w:rsidR="00571CB2" w:rsidRPr="00433C58" w:rsidRDefault="00571CB2" w:rsidP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Vay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571CB2" w:rsidRPr="00433C58" w:rsidRDefault="00571CB2" w:rsidP="00571CB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Vay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571CB2" w:rsidRPr="00433C58" w:rsidRDefault="00571CB2" w:rsidP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TK 3412: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  <w:p w:rsidR="00571CB2" w:rsidRPr="00433C58" w:rsidRDefault="00571CB2" w:rsidP="00571CB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  <w:p w:rsidR="00571CB2" w:rsidRPr="00433C58" w:rsidRDefault="00571CB2" w:rsidP="00571CB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      TK 34131: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Mệnh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  <w:p w:rsidR="00571CB2" w:rsidRPr="00433C58" w:rsidRDefault="00571CB2" w:rsidP="00571CB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      TK 34132: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Chiết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khấu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  <w:p w:rsidR="00571CB2" w:rsidRPr="00433C58" w:rsidRDefault="00571CB2" w:rsidP="00571CB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      TK 3413: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trội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</w:p>
          <w:p w:rsidR="00571CB2" w:rsidRPr="00433C58" w:rsidRDefault="00571CB2" w:rsidP="00571CB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3414: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cược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</w:tr>
      <w:tr w:rsidR="00571CB2" w:rsidRPr="00433C58" w:rsidTr="00186F07">
        <w:tc>
          <w:tcPr>
            <w:tcW w:w="4788" w:type="dxa"/>
          </w:tcPr>
          <w:p w:rsidR="00571CB2" w:rsidRPr="00433C58" w:rsidRDefault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344: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cược </w:t>
            </w:r>
          </w:p>
        </w:tc>
        <w:tc>
          <w:tcPr>
            <w:tcW w:w="4788" w:type="dxa"/>
            <w:vMerge/>
          </w:tcPr>
          <w:p w:rsidR="00571CB2" w:rsidRPr="00433C58" w:rsidRDefault="00571CB2" w:rsidP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CB2" w:rsidRPr="00433C58" w:rsidTr="00186F07">
        <w:tc>
          <w:tcPr>
            <w:tcW w:w="4788" w:type="dxa"/>
          </w:tcPr>
          <w:p w:rsidR="00571CB2" w:rsidRPr="00433C58" w:rsidRDefault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4788" w:type="dxa"/>
          </w:tcPr>
          <w:p w:rsidR="00571CB2" w:rsidRPr="00433C58" w:rsidRDefault="00571CB2" w:rsidP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351: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mất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</w:p>
        </w:tc>
      </w:tr>
      <w:tr w:rsidR="00571CB2" w:rsidRPr="00433C58" w:rsidTr="00186F07">
        <w:tc>
          <w:tcPr>
            <w:tcW w:w="4788" w:type="dxa"/>
          </w:tcPr>
          <w:p w:rsidR="00571CB2" w:rsidRPr="00433C58" w:rsidRDefault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TK352: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</w:p>
          <w:p w:rsidR="00924DFF" w:rsidRPr="00433C58" w:rsidRDefault="00924DFF" w:rsidP="00924DF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TK3521: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  <w:p w:rsidR="00924DFF" w:rsidRPr="00433C58" w:rsidRDefault="00924DFF" w:rsidP="00924DF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3522: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  <w:p w:rsidR="00924DFF" w:rsidRPr="00433C58" w:rsidRDefault="00924DFF" w:rsidP="00924DF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TK 3523: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DN</w:t>
            </w:r>
          </w:p>
          <w:p w:rsidR="00924DFF" w:rsidRPr="00433C58" w:rsidRDefault="00924DFF" w:rsidP="00924DF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TK 3524: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</w:tcPr>
          <w:p w:rsidR="00571CB2" w:rsidRPr="00433C58" w:rsidRDefault="00571CB2" w:rsidP="00571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C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TK 352: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C58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</w:p>
        </w:tc>
      </w:tr>
    </w:tbl>
    <w:p w:rsidR="007F4D93" w:rsidRPr="00433C58" w:rsidRDefault="007F4D93" w:rsidP="00433C58">
      <w:pPr>
        <w:rPr>
          <w:rFonts w:ascii="Times New Roman" w:hAnsi="Times New Roman" w:cs="Times New Roman"/>
          <w:sz w:val="26"/>
          <w:szCs w:val="26"/>
        </w:rPr>
      </w:pPr>
    </w:p>
    <w:sectPr w:rsidR="007F4D93" w:rsidRPr="00433C58" w:rsidSect="001B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928"/>
    <w:multiLevelType w:val="hybridMultilevel"/>
    <w:tmpl w:val="4E940344"/>
    <w:lvl w:ilvl="0" w:tplc="8DEAB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711"/>
    <w:multiLevelType w:val="hybridMultilevel"/>
    <w:tmpl w:val="F35462C6"/>
    <w:lvl w:ilvl="0" w:tplc="B9FC78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59C5"/>
    <w:multiLevelType w:val="hybridMultilevel"/>
    <w:tmpl w:val="5754CE46"/>
    <w:lvl w:ilvl="0" w:tplc="C34E2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5DA"/>
    <w:multiLevelType w:val="hybridMultilevel"/>
    <w:tmpl w:val="E934EDDC"/>
    <w:lvl w:ilvl="0" w:tplc="028C0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A3C"/>
    <w:multiLevelType w:val="hybridMultilevel"/>
    <w:tmpl w:val="4EE29372"/>
    <w:lvl w:ilvl="0" w:tplc="DF045F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2D13"/>
    <w:multiLevelType w:val="hybridMultilevel"/>
    <w:tmpl w:val="AAA61FB4"/>
    <w:lvl w:ilvl="0" w:tplc="86BA19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87B99"/>
    <w:multiLevelType w:val="hybridMultilevel"/>
    <w:tmpl w:val="1DC46666"/>
    <w:lvl w:ilvl="0" w:tplc="89FE6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7E07"/>
    <w:multiLevelType w:val="hybridMultilevel"/>
    <w:tmpl w:val="5F721C80"/>
    <w:lvl w:ilvl="0" w:tplc="B16AA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A4FD5"/>
    <w:multiLevelType w:val="hybridMultilevel"/>
    <w:tmpl w:val="2D3EF524"/>
    <w:lvl w:ilvl="0" w:tplc="8124C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C2302"/>
    <w:multiLevelType w:val="hybridMultilevel"/>
    <w:tmpl w:val="A8BA7C10"/>
    <w:lvl w:ilvl="0" w:tplc="F3D016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D93"/>
    <w:rsid w:val="00186F07"/>
    <w:rsid w:val="001A6416"/>
    <w:rsid w:val="001B2D49"/>
    <w:rsid w:val="00433C58"/>
    <w:rsid w:val="00571CB2"/>
    <w:rsid w:val="005B165D"/>
    <w:rsid w:val="007F4D93"/>
    <w:rsid w:val="00924DFF"/>
    <w:rsid w:val="00A33D73"/>
    <w:rsid w:val="00EC7B9F"/>
    <w:rsid w:val="00F8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93"/>
    <w:pPr>
      <w:ind w:left="720"/>
      <w:contextualSpacing/>
    </w:pPr>
  </w:style>
  <w:style w:type="table" w:styleId="TableGrid">
    <w:name w:val="Table Grid"/>
    <w:basedOn w:val="TableNormal"/>
    <w:uiPriority w:val="59"/>
    <w:rsid w:val="0018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2016-10-05T00:48:00Z</dcterms:created>
  <dcterms:modified xsi:type="dcterms:W3CDTF">2016-10-06T06:13:00Z</dcterms:modified>
</cp:coreProperties>
</file>